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35: Información sobre el control de datos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clave FM y regional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Plazo de tiempo para el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informes efectivamente recibidos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Boletín sometido a control (BBB)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Discrepancias en cuanto a la disponibilidad de datos esperados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los resultados del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Causa de los datos faltantes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Deficiencias de observación y recopilación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Tendencias estadísticas de la disponibilidad de datos (durante el (los) período(s) examinado(s)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Motivo de la terminación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