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04: Secuencias meteorológicas comunes a las observaciones satelitales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3 04 001</w:t>
            </w:r>
          </w:p>
        </w:tc>
        <w:tc>
          <w:tcPr>
            <w:tcW w:type="dxa" w:w="2163"/>
          </w:tcPr>
          <w:p>
            <w:pPr>
              <w:spacing w:before="20" w:after="20"/>
            </w:pPr>
            <w:r>
              <w:rPr>
                <w:b/>
              </w:rPr>
            </w:r>
            <w:r>
              <w:rPr>
                <w:rFonts w:ascii="Verdana" w:hAnsi="Verdana"/>
                <w:b/>
                <w:sz w:val="16"/>
              </w:rPr>
              <w:t>Presión en la cima de la nube, temperatura,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3 04 002</w:t>
            </w:r>
          </w:p>
        </w:tc>
        <w:tc>
          <w:tcPr>
            <w:tcW w:type="dxa" w:w="2163"/>
          </w:tcPr>
          <w:p>
            <w:pPr>
              <w:spacing w:before="20" w:after="20"/>
            </w:pPr>
            <w:r>
              <w:rPr>
                <w:b/>
              </w:rPr>
            </w:r>
            <w:r>
              <w:rPr>
                <w:rFonts w:ascii="Verdana" w:hAnsi="Verdana"/>
                <w:b/>
                <w:sz w:val="16"/>
              </w:rPr>
              <w:t>Presión en la cima de la nube,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3 04 003</w:t>
            </w:r>
          </w:p>
        </w:tc>
        <w:tc>
          <w:tcPr>
            <w:tcW w:type="dxa" w:w="2163"/>
          </w:tcPr>
          <w:p>
            <w:pPr>
              <w:spacing w:before="20" w:after="20"/>
            </w:pPr>
            <w:r>
              <w:rPr>
                <w:b/>
              </w:rPr>
            </w:r>
            <w:r>
              <w:rPr>
                <w:rFonts w:ascii="Verdana" w:hAnsi="Verdana"/>
                <w:b/>
                <w:sz w:val="16"/>
              </w:rPr>
              <w:t>Temperatura en la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3 04 004</w:t>
            </w:r>
          </w:p>
        </w:tc>
        <w:tc>
          <w:tcPr>
            <w:tcW w:type="dxa" w:w="2163"/>
          </w:tcPr>
          <w:p>
            <w:pPr>
              <w:spacing w:before="20" w:after="20"/>
            </w:pPr>
            <w:r>
              <w:rPr>
                <w:b/>
              </w:rPr>
            </w:r>
            <w:r>
              <w:rPr>
                <w:rFonts w:ascii="Verdana" w:hAnsi="Verdana"/>
                <w:b/>
                <w:sz w:val="16"/>
              </w:rPr>
              <w:t>Presión en la cima de la nube, nubosidad,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Cubierta de nubes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3 04 005</w:t>
            </w:r>
          </w:p>
        </w:tc>
        <w:tc>
          <w:tcPr>
            <w:tcW w:type="dxa" w:w="2163"/>
          </w:tcPr>
          <w:p>
            <w:pPr>
              <w:spacing w:before="20" w:after="20"/>
            </w:pPr>
            <w:r>
              <w:rPr>
                <w:b/>
              </w:rPr>
            </w:r>
            <w:r>
              <w:rPr>
                <w:rFonts w:ascii="Verdana" w:hAnsi="Verdana"/>
                <w:b/>
                <w:sz w:val="16"/>
              </w:rPr>
              <w:t>Humedad relativa media de la capa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Método de cálculo de la humedad media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Definir capa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3 04 006</w:t>
            </w:r>
          </w:p>
        </w:tc>
        <w:tc>
          <w:tcPr>
            <w:tcW w:type="dxa" w:w="2163"/>
          </w:tcPr>
          <w:p>
            <w:pPr>
              <w:spacing w:before="20" w:after="20"/>
            </w:pPr>
            <w:r>
              <w:rPr>
                <w:b/>
              </w:rPr>
            </w:r>
            <w:r>
              <w:rPr>
                <w:rFonts w:ascii="Verdana" w:hAnsi="Verdana"/>
                <w:b/>
                <w:sz w:val="16"/>
              </w:rPr>
              <w:t>Radiación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0 14 001</w:t>
            </w:r>
          </w:p>
        </w:tc>
        <w:tc>
          <w:tcPr>
            <w:tcW w:type="dxa" w:w="2163"/>
          </w:tcPr>
          <w:p>
            <w:pPr>
              <w:spacing w:before="20" w:after="20"/>
            </w:pPr>
            <w:r/>
            <w:r>
              <w:rPr>
                <w:rFonts w:ascii="Verdana" w:hAnsi="Verdana"/>
                <w:b w:val="0"/>
                <w:sz w:val="16"/>
              </w:rPr>
              <w:t>Radiación de onda larga, integrada durante 24 horas</w:t>
            </w:r>
          </w:p>
        </w:tc>
        <w:tc>
          <w:tcPr>
            <w:tcW w:type="dxa" w:w="2163"/>
          </w:tcPr>
          <w:p>
            <w:pPr>
              <w:spacing w:before="20" w:after="20"/>
            </w:pPr>
            <w:r/>
            <w:r>
              <w:rPr>
                <w:rFonts w:ascii="Verdana" w:hAnsi="Verdana"/>
                <w:b w:val="0"/>
                <w:sz w:val="16"/>
              </w:rPr>
              <w:t>Radiación saliente de onda larga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0 14 001</w:t>
            </w:r>
          </w:p>
        </w:tc>
        <w:tc>
          <w:tcPr>
            <w:tcW w:type="dxa" w:w="2163"/>
          </w:tcPr>
          <w:p>
            <w:pPr>
              <w:spacing w:before="20" w:after="20"/>
            </w:pPr>
            <w:r/>
            <w:r>
              <w:rPr>
                <w:rFonts w:ascii="Verdana" w:hAnsi="Verdana"/>
                <w:b w:val="0"/>
                <w:sz w:val="16"/>
              </w:rPr>
              <w:t>Radiación de onda larga, integrada durante 24 horas</w:t>
            </w:r>
          </w:p>
        </w:tc>
        <w:tc>
          <w:tcPr>
            <w:tcW w:type="dxa" w:w="2163"/>
          </w:tcPr>
          <w:p>
            <w:pPr>
              <w:spacing w:before="20" w:after="20"/>
            </w:pPr>
            <w:r/>
            <w:r>
              <w:rPr>
                <w:rFonts w:ascii="Verdana" w:hAnsi="Verdana"/>
                <w:b w:val="0"/>
                <w:sz w:val="16"/>
              </w:rPr>
              <w:t>Radiación incidente de onda larga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0 14 003</w:t>
            </w:r>
          </w:p>
        </w:tc>
        <w:tc>
          <w:tcPr>
            <w:tcW w:type="dxa" w:w="2163"/>
          </w:tcPr>
          <w:p>
            <w:pPr>
              <w:spacing w:before="20" w:after="20"/>
            </w:pPr>
            <w:r/>
            <w:r>
              <w:rPr>
                <w:rFonts w:ascii="Verdana" w:hAnsi="Verdana"/>
                <w:b w:val="0"/>
                <w:sz w:val="16"/>
              </w:rPr>
              <w:t>Radiación de onda corta, integrada durante 24 horas</w:t>
            </w:r>
          </w:p>
        </w:tc>
        <w:tc>
          <w:tcPr>
            <w:tcW w:type="dxa" w:w="2163"/>
          </w:tcPr>
          <w:p>
            <w:pPr>
              <w:spacing w:before="20" w:after="20"/>
            </w:pPr>
            <w:r/>
            <w:r>
              <w:rPr>
                <w:rFonts w:ascii="Verdana" w:hAnsi="Verdana"/>
                <w:b w:val="0"/>
                <w:sz w:val="16"/>
              </w:rPr>
              <w:t>Radiación saliente de onda corta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3 04 011</w:t>
            </w:r>
          </w:p>
        </w:tc>
        <w:tc>
          <w:tcPr>
            <w:tcW w:type="dxa" w:w="2163"/>
          </w:tcPr>
          <w:p>
            <w:pPr>
              <w:spacing w:before="20" w:after="20"/>
            </w:pPr>
            <w:r>
              <w:rPr>
                <w:b/>
              </w:rPr>
            </w:r>
            <w:r>
              <w:rPr>
                <w:rFonts w:ascii="Verdana" w:hAnsi="Verdana"/>
                <w:b/>
                <w:sz w:val="16"/>
              </w:rPr>
              <w:t>Información GOES-I/M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0 02 163</w:t>
            </w:r>
          </w:p>
        </w:tc>
        <w:tc>
          <w:tcPr>
            <w:tcW w:type="dxa" w:w="2163"/>
          </w:tcPr>
          <w:p>
            <w:pPr>
              <w:spacing w:before="20" w:after="20"/>
            </w:pPr>
            <w:r/>
            <w:r>
              <w:rPr>
                <w:rFonts w:ascii="Verdana" w:hAnsi="Verdana"/>
                <w:b w:val="0"/>
                <w:sz w:val="16"/>
              </w:rPr>
              <w:t>Método de determinación de la 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0 02 164</w:t>
            </w:r>
          </w:p>
        </w:tc>
        <w:tc>
          <w:tcPr>
            <w:tcW w:type="dxa" w:w="2163"/>
          </w:tcPr>
          <w:p>
            <w:pPr>
              <w:spacing w:before="20" w:after="20"/>
            </w:pPr>
            <w:r/>
            <w:r>
              <w:rPr>
                <w:rFonts w:ascii="Verdana" w:hAnsi="Verdana"/>
                <w:b w:val="0"/>
                <w:sz w:val="16"/>
              </w:rPr>
              <w:t>Método de correlación del trazador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Ángulo cenital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0 02 057</w:t>
            </w:r>
          </w:p>
        </w:tc>
        <w:tc>
          <w:tcPr>
            <w:tcW w:type="dxa" w:w="2163"/>
          </w:tcPr>
          <w:p>
            <w:pPr>
              <w:spacing w:before="20" w:after="20"/>
            </w:pPr>
            <w:r/>
            <w:r>
              <w:rPr>
                <w:rFonts w:ascii="Verdana" w:hAnsi="Verdana"/>
                <w:b w:val="0"/>
                <w:sz w:val="16"/>
              </w:rPr>
              <w:t>Origen de la información de primera aproximación para sondeos de satélites GOES-I/M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1 10 004</w:t>
            </w:r>
          </w:p>
        </w:tc>
        <w:tc>
          <w:tcPr>
            <w:tcW w:type="dxa" w:w="2163"/>
          </w:tcPr>
          <w:p>
            <w:pPr>
              <w:spacing w:before="20" w:after="20"/>
            </w:pPr>
            <w:r/>
            <w:r>
              <w:rPr>
                <w:rFonts w:ascii="Verdana" w:hAnsi="Verdana"/>
                <w:b w:val="0"/>
                <w:sz w:val="16"/>
              </w:rPr>
              <w:t>Repetir 10 descriptores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1 03 010</w:t>
            </w:r>
          </w:p>
        </w:tc>
        <w:tc>
          <w:tcPr>
            <w:tcW w:type="dxa" w:w="2163"/>
          </w:tcPr>
          <w:p>
            <w:pPr>
              <w:spacing w:before="20" w:after="20"/>
            </w:pPr>
            <w:r/>
            <w:r>
              <w:rPr>
                <w:rFonts w:ascii="Verdana" w:hAnsi="Verdana"/>
                <w:b w:val="0"/>
                <w:sz w:val="16"/>
              </w:rPr>
              <w:t>Repetir 3 descriptores 10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0 02 163</w:t>
            </w:r>
          </w:p>
        </w:tc>
        <w:tc>
          <w:tcPr>
            <w:tcW w:type="dxa" w:w="2163"/>
          </w:tcPr>
          <w:p>
            <w:pPr>
              <w:spacing w:before="20" w:after="20"/>
            </w:pPr>
            <w:r/>
            <w:r>
              <w:rPr>
                <w:rFonts w:ascii="Verdana" w:hAnsi="Verdana"/>
                <w:b w:val="0"/>
                <w:sz w:val="16"/>
              </w:rPr>
              <w:t>Método de determinación de la 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3 04 030</w:t>
            </w:r>
          </w:p>
        </w:tc>
        <w:tc>
          <w:tcPr>
            <w:tcW w:type="dxa" w:w="2163"/>
          </w:tcPr>
          <w:p>
            <w:pPr>
              <w:spacing w:before="20" w:after="20"/>
            </w:pPr>
            <w:r>
              <w:rPr>
                <w:b/>
              </w:rPr>
            </w:r>
            <w:r>
              <w:rPr>
                <w:rFonts w:ascii="Verdana" w:hAnsi="Verdana"/>
                <w:b/>
                <w:sz w:val="16"/>
              </w:rPr>
              <w:t>Ubicación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0 27 031</w:t>
            </w:r>
          </w:p>
        </w:tc>
        <w:tc>
          <w:tcPr>
            <w:tcW w:type="dxa" w:w="2163"/>
          </w:tcPr>
          <w:p>
            <w:pPr>
              <w:spacing w:before="20" w:after="20"/>
            </w:pPr>
            <w:r/>
            <w:r>
              <w:rPr>
                <w:rFonts w:ascii="Verdana" w:hAnsi="Verdana"/>
                <w:b w:val="0"/>
                <w:sz w:val="16"/>
              </w:rPr>
              <w:t>Distancia desde el centro de la Tierra en dirección de 0 grados de longitud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0 28 031</w:t>
            </w:r>
          </w:p>
        </w:tc>
        <w:tc>
          <w:tcPr>
            <w:tcW w:type="dxa" w:w="2163"/>
          </w:tcPr>
          <w:p>
            <w:pPr>
              <w:spacing w:before="20" w:after="20"/>
            </w:pPr>
            <w:r/>
            <w:r>
              <w:rPr>
                <w:rFonts w:ascii="Verdana" w:hAnsi="Verdana"/>
                <w:b w:val="0"/>
                <w:sz w:val="16"/>
              </w:rPr>
              <w:t>Distancia desde el centro de la Tierra en dirección 90 grados Este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0 10 031</w:t>
            </w:r>
          </w:p>
        </w:tc>
        <w:tc>
          <w:tcPr>
            <w:tcW w:type="dxa" w:w="2163"/>
          </w:tcPr>
          <w:p>
            <w:pPr>
              <w:spacing w:before="20" w:after="20"/>
            </w:pPr>
            <w:r/>
            <w:r>
              <w:rPr>
                <w:rFonts w:ascii="Verdana" w:hAnsi="Verdana"/>
                <w:b w:val="0"/>
                <w:sz w:val="16"/>
              </w:rPr>
              <w:t>Distancia desde el centro de la Tierra en dirección al Polo Norte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3 04 031</w:t>
            </w:r>
          </w:p>
        </w:tc>
        <w:tc>
          <w:tcPr>
            <w:tcW w:type="dxa" w:w="2163"/>
          </w:tcPr>
          <w:p>
            <w:pPr>
              <w:spacing w:before="20" w:after="20"/>
            </w:pPr>
            <w:r>
              <w:rPr>
                <w:b/>
              </w:rPr>
            </w:r>
            <w:r>
              <w:rPr>
                <w:rFonts w:ascii="Verdana" w:hAnsi="Verdana"/>
                <w:b/>
                <w:sz w:val="16"/>
              </w:rPr>
              <w:t>Velocidad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0 01 041</w:t>
            </w:r>
          </w:p>
        </w:tc>
        <w:tc>
          <w:tcPr>
            <w:tcW w:type="dxa" w:w="2163"/>
          </w:tcPr>
          <w:p>
            <w:pPr>
              <w:spacing w:before="20" w:after="20"/>
            </w:pPr>
            <w:r/>
            <w:r>
              <w:rPr>
                <w:rFonts w:ascii="Verdana" w:hAnsi="Verdana"/>
                <w:b w:val="0"/>
                <w:sz w:val="16"/>
              </w:rPr>
              <w:t>Velocidad absoluta de la plataforma - primer componente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0 01 042</w:t>
            </w:r>
          </w:p>
        </w:tc>
        <w:tc>
          <w:tcPr>
            <w:tcW w:type="dxa" w:w="2163"/>
          </w:tcPr>
          <w:p>
            <w:pPr>
              <w:spacing w:before="20" w:after="20"/>
            </w:pPr>
            <w:r/>
            <w:r>
              <w:rPr>
                <w:rFonts w:ascii="Verdana" w:hAnsi="Verdana"/>
                <w:b w:val="0"/>
                <w:sz w:val="16"/>
              </w:rPr>
              <w:t>Velocidad absoluta de la plataforma - segundo componente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0 01 043</w:t>
            </w:r>
          </w:p>
        </w:tc>
        <w:tc>
          <w:tcPr>
            <w:tcW w:type="dxa" w:w="2163"/>
          </w:tcPr>
          <w:p>
            <w:pPr>
              <w:spacing w:before="20" w:after="20"/>
            </w:pPr>
            <w:r/>
            <w:r>
              <w:rPr>
                <w:rFonts w:ascii="Verdana" w:hAnsi="Verdana"/>
                <w:b w:val="0"/>
                <w:sz w:val="16"/>
              </w:rPr>
              <w:t>Velocidad absoluta de la plataforma - tercer componente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3 04 032</w:t>
            </w:r>
          </w:p>
        </w:tc>
        <w:tc>
          <w:tcPr>
            <w:tcW w:type="dxa" w:w="2163"/>
          </w:tcPr>
          <w:p>
            <w:pPr>
              <w:spacing w:before="20" w:after="20"/>
            </w:pPr>
            <w:r>
              <w:rPr>
                <w:b/>
              </w:rPr>
            </w:r>
            <w:r>
              <w:rPr>
                <w:rFonts w:ascii="Verdana" w:hAnsi="Verdana"/>
                <w:b/>
                <w:sz w:val="16"/>
              </w:rPr>
              <w:t>Fracción nubosa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Ancho de banda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0 20 082</w:t>
            </w:r>
          </w:p>
        </w:tc>
        <w:tc>
          <w:tcPr>
            <w:tcW w:type="dxa" w:w="2163"/>
          </w:tcPr>
          <w:p>
            <w:pPr>
              <w:spacing w:before="20" w:after="20"/>
            </w:pPr>
            <w:r/>
            <w:r>
              <w:rPr>
                <w:rFonts w:ascii="Verdana" w:hAnsi="Verdana"/>
                <w:b w:val="0"/>
                <w:sz w:val="16"/>
              </w:rPr>
              <w:t>Cantidad de segmento sin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3 04 033</w:t>
            </w:r>
          </w:p>
        </w:tc>
        <w:tc>
          <w:tcPr>
            <w:tcW w:type="dxa" w:w="2163"/>
          </w:tcPr>
          <w:p>
            <w:pPr>
              <w:spacing w:before="20" w:after="20"/>
            </w:pPr>
            <w:r>
              <w:rPr>
                <w:b/>
              </w:rPr>
            </w:r>
            <w:r>
              <w:rPr>
                <w:rFonts w:ascii="Verdana" w:hAnsi="Verdana"/>
                <w:b/>
                <w:sz w:val="16"/>
              </w:rPr>
              <w:t>Radiancia en cielo despejado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Instrumento satelital utilizado en el procesamiento de los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0 02 166</w:t>
            </w:r>
          </w:p>
        </w:tc>
        <w:tc>
          <w:tcPr>
            <w:tcW w:type="dxa" w:w="2163"/>
          </w:tcPr>
          <w:p>
            <w:pPr>
              <w:spacing w:before="20" w:after="20"/>
            </w:pPr>
            <w:r/>
            <w:r>
              <w:rPr>
                <w:rFonts w:ascii="Verdana" w:hAnsi="Verdana"/>
                <w:b w:val="0"/>
                <w:sz w:val="16"/>
              </w:rPr>
              <w:t>Tipo de radiancia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0 02 167</w:t>
            </w:r>
          </w:p>
        </w:tc>
        <w:tc>
          <w:tcPr>
            <w:tcW w:type="dxa" w:w="2163"/>
          </w:tcPr>
          <w:p>
            <w:pPr>
              <w:spacing w:before="20" w:after="20"/>
            </w:pPr>
            <w:r/>
            <w:r>
              <w:rPr>
                <w:rFonts w:ascii="Verdana" w:hAnsi="Verdana"/>
                <w:b w:val="0"/>
                <w:sz w:val="16"/>
              </w:rPr>
              <w:t>Método de cálculo de la radiancia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Ancho de banda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0 12 075</w:t>
            </w:r>
          </w:p>
        </w:tc>
        <w:tc>
          <w:tcPr>
            <w:tcW w:type="dxa" w:w="2163"/>
          </w:tcPr>
          <w:p>
            <w:pPr>
              <w:spacing w:before="20" w:after="20"/>
            </w:pPr>
            <w:r/>
            <w:r>
              <w:rPr>
                <w:rFonts w:ascii="Verdana" w:hAnsi="Verdana"/>
                <w:b w:val="0"/>
                <w:sz w:val="16"/>
              </w:rPr>
              <w:t>Radiancia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0 12 076</w:t>
            </w:r>
          </w:p>
        </w:tc>
        <w:tc>
          <w:tcPr>
            <w:tcW w:type="dxa" w:w="2163"/>
          </w:tcPr>
          <w:p>
            <w:pPr>
              <w:spacing w:before="20" w:after="20"/>
            </w:pPr>
            <w:r/>
            <w:r>
              <w:rPr>
                <w:rFonts w:ascii="Verdana" w:hAnsi="Verdana"/>
                <w:b w:val="0"/>
                <w:sz w:val="16"/>
              </w:rPr>
              <w:t>Radiancia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3 04 034</w:t>
            </w:r>
          </w:p>
        </w:tc>
        <w:tc>
          <w:tcPr>
            <w:tcW w:type="dxa" w:w="2163"/>
          </w:tcPr>
          <w:p>
            <w:pPr>
              <w:spacing w:before="20" w:after="20"/>
            </w:pPr>
            <w:r>
              <w:rPr>
                <w:b/>
              </w:rPr>
            </w:r>
            <w:r>
              <w:rPr>
                <w:rFonts w:ascii="Verdana" w:hAnsi="Verdana"/>
                <w:b/>
                <w:sz w:val="16"/>
              </w:rPr>
              <w:t>Latitud/longitud, elevación solar, número de capas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1 02 004</w:t>
            </w:r>
          </w:p>
        </w:tc>
        <w:tc>
          <w:tcPr>
            <w:tcW w:type="dxa" w:w="2163"/>
          </w:tcPr>
          <w:p>
            <w:pPr>
              <w:spacing w:before="20" w:after="20"/>
            </w:pPr>
            <w:r/>
            <w:r>
              <w:rPr>
                <w:rFonts w:ascii="Verdana" w:hAnsi="Verdana"/>
                <w:b w:val="0"/>
                <w:sz w:val="16"/>
              </w:rPr>
              <w:t>Repetir 2 descriptores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0 07 022</w:t>
            </w:r>
          </w:p>
        </w:tc>
        <w:tc>
          <w:tcPr>
            <w:tcW w:type="dxa" w:w="2163"/>
          </w:tcPr>
          <w:p>
            <w:pPr>
              <w:spacing w:before="20" w:after="20"/>
            </w:pPr>
            <w:r/>
            <w:r>
              <w:rPr>
                <w:rFonts w:ascii="Verdana" w:hAnsi="Verdana"/>
                <w:b w:val="0"/>
                <w:sz w:val="16"/>
              </w:rPr>
              <w:t>Elevación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Número del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Cubierta de nubes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Presión en la cima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0 10 040</w:t>
            </w:r>
          </w:p>
        </w:tc>
        <w:tc>
          <w:tcPr>
            <w:tcW w:type="dxa" w:w="2163"/>
          </w:tcPr>
          <w:p>
            <w:pPr>
              <w:spacing w:before="20" w:after="20"/>
            </w:pPr>
            <w:r/>
            <w:r>
              <w:rPr>
                <w:rFonts w:ascii="Verdana" w:hAnsi="Verdana"/>
                <w:b w:val="0"/>
                <w:sz w:val="16"/>
              </w:rPr>
              <w:t>Recuperación de datos sobre el número de capas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3 04 035</w:t>
            </w:r>
          </w:p>
        </w:tc>
        <w:tc>
          <w:tcPr>
            <w:tcW w:type="dxa" w:w="2163"/>
          </w:tcPr>
          <w:p>
            <w:pPr>
              <w:spacing w:before="20" w:after="20"/>
            </w:pPr>
            <w:r>
              <w:rPr>
                <w:b/>
              </w:rPr>
            </w:r>
            <w:r>
              <w:rPr>
                <w:rFonts w:ascii="Verdana" w:hAnsi="Verdana"/>
                <w:b/>
                <w:sz w:val="16"/>
              </w:rPr>
              <w:t>Datos de radiancia del cielo completo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Ancho de la banda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Tipo de píxel: despejado</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Despejado</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Tipo de píxel: nuboso</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Nuboso</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bajas</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Nubes bajas</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medias</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Nubes medias</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altas</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Nubes altas</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t>Note 1: El descriptor 3 04 035 se ha relegado.</w:t>
            </w:r>
          </w:p>
        </w:tc>
      </w:tr>
      <w:tr>
        <w:trPr>
          <w:cantSplit/>
        </w:trPr>
        <w:tc>
          <w:tcPr>
            <w:tcW w:type="dxa" w:w="2163"/>
          </w:tcPr>
          <w:p>
            <w:pPr>
              <w:spacing w:before="20" w:after="20"/>
            </w:pPr>
            <w:r>
              <w:rPr>
                <w:b/>
              </w:rPr>
            </w:r>
            <w:r>
              <w:rPr>
                <w:rFonts w:ascii="Verdana" w:hAnsi="Verdana"/>
                <w:b/>
                <w:sz w:val="16"/>
              </w:rPr>
              <w:t>3 04 036</w:t>
            </w:r>
          </w:p>
        </w:tc>
        <w:tc>
          <w:tcPr>
            <w:tcW w:type="dxa" w:w="2163"/>
          </w:tcPr>
          <w:p>
            <w:pPr>
              <w:spacing w:before="20" w:after="20"/>
            </w:pPr>
            <w:r>
              <w:rPr>
                <w:b/>
              </w:rPr>
            </w:r>
            <w:r>
              <w:rPr>
                <w:rFonts w:ascii="Verdana" w:hAnsi="Verdana"/>
                <w:b/>
                <w:sz w:val="16"/>
              </w:rPr>
              <w:t>Cobertura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0 20 082</w:t>
            </w:r>
          </w:p>
        </w:tc>
        <w:tc>
          <w:tcPr>
            <w:tcW w:type="dxa" w:w="2163"/>
          </w:tcPr>
          <w:p>
            <w:pPr>
              <w:spacing w:before="20" w:after="20"/>
            </w:pPr>
            <w:r/>
            <w:r>
              <w:rPr>
                <w:rFonts w:ascii="Verdana" w:hAnsi="Verdana"/>
                <w:b w:val="0"/>
                <w:sz w:val="16"/>
              </w:rPr>
              <w:t>Cantidad de segmento sin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t>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0 20 082</w:t>
            </w:r>
          </w:p>
        </w:tc>
        <w:tc>
          <w:tcPr>
            <w:tcW w:type="dxa" w:w="2163"/>
          </w:tcPr>
          <w:p>
            <w:pPr>
              <w:spacing w:before="20" w:after="20"/>
            </w:pPr>
            <w:r/>
            <w:r>
              <w:rPr>
                <w:rFonts w:ascii="Verdana" w:hAnsi="Verdana"/>
                <w:b w:val="0"/>
                <w:sz w:val="16"/>
              </w:rPr>
              <w:t>Cantidad de segmento sin nubes</w:t>
            </w:r>
          </w:p>
        </w:tc>
        <w:tc>
          <w:tcPr>
            <w:tcW w:type="dxa" w:w="2163"/>
          </w:tcPr>
          <w:p>
            <w:pPr>
              <w:spacing w:before="20" w:after="20"/>
            </w:pPr>
            <w:r/>
            <w:r>
              <w:rPr>
                <w:rFonts w:ascii="Verdana" w:hAnsi="Verdana"/>
                <w:b w:val="0"/>
                <w:sz w:val="16"/>
              </w:rPr>
              <w:t>Mar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t>Nubes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medias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t>Nubes medias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altas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t>Nubes altas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3 04 037</w:t>
            </w:r>
          </w:p>
        </w:tc>
        <w:tc>
          <w:tcPr>
            <w:tcW w:type="dxa" w:w="2163"/>
          </w:tcPr>
          <w:p>
            <w:pPr>
              <w:spacing w:before="20" w:after="20"/>
            </w:pPr>
            <w:r>
              <w:rPr>
                <w:b/>
              </w:rPr>
            </w:r>
            <w:r>
              <w:rPr>
                <w:rFonts w:ascii="Verdana" w:hAnsi="Verdana"/>
                <w:b/>
                <w:sz w:val="16"/>
              </w:rPr>
              <w:t>Datos de radiancia del cielo completo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Ancho de banda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Tipo de píxel: despejado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Despejado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Tipo de píxel: nuboso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Nuboso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Característica meteorológica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Nubes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medias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Nubes medias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Significación vertical (observaciones satelitales</w:t>
            </w:r>
          </w:p>
        </w:tc>
        <w:tc>
          <w:tcPr>
            <w:tcW w:type="dxa" w:w="2163"/>
          </w:tcPr>
          <w:p>
            <w:pPr>
              <w:spacing w:before="20" w:after="20"/>
            </w:pPr>
            <w:r/>
            <w:r>
              <w:rPr>
                <w:rFonts w:ascii="Verdana" w:hAnsi="Verdana"/>
                <w:b w:val="0"/>
                <w:sz w:val="16"/>
              </w:rPr>
              <w:t>Nubes altas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lumicia</w:t>
            </w:r>
          </w:p>
        </w:tc>
        <w:tc>
          <w:tcPr>
            <w:tcW w:type="dxa" w:w="2163"/>
          </w:tcPr>
          <w:p>
            <w:pPr>
              <w:spacing w:before="20" w:after="20"/>
            </w:pPr>
            <w:r/>
            <w:r>
              <w:rPr>
                <w:rFonts w:ascii="Verdana" w:hAnsi="Verdana"/>
                <w:b w:val="0"/>
                <w:sz w:val="16"/>
              </w:rPr>
              <w:t>Nubes altas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3 04 039</w:t>
            </w:r>
          </w:p>
        </w:tc>
        <w:tc>
          <w:tcPr>
            <w:tcW w:type="dxa" w:w="2163"/>
          </w:tcPr>
          <w:p>
            <w:pPr>
              <w:spacing w:before="20" w:after="20"/>
            </w:pPr>
            <w:r>
              <w:rPr>
                <w:b/>
              </w:rPr>
            </w:r>
            <w:r>
              <w:rPr>
                <w:rFonts w:ascii="Verdana" w:hAnsi="Verdana"/>
                <w:b/>
                <w:sz w:val="16"/>
              </w:rPr>
              <w:t>Radiancia en 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8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Valor ajustado de la radiancia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3 04 040</w:t>
            </w:r>
          </w:p>
        </w:tc>
        <w:tc>
          <w:tcPr>
            <w:tcW w:type="dxa" w:w="2163"/>
          </w:tcPr>
          <w:p>
            <w:pPr>
              <w:spacing w:before="20" w:after="20"/>
            </w:pPr>
            <w:r>
              <w:rPr>
                <w:b/>
              </w:rPr>
            </w:r>
            <w:r>
              <w:rPr>
                <w:rFonts w:ascii="Verdana" w:hAnsi="Verdana"/>
                <w:b/>
                <w:sz w:val="16"/>
              </w:rPr>
              <w:t>Índice del componente principal en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Canal de comienzo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Canal de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0 40 026</w:t>
            </w:r>
          </w:p>
        </w:tc>
        <w:tc>
          <w:tcPr>
            <w:tcW w:type="dxa" w:w="2163"/>
          </w:tcPr>
          <w:p>
            <w:pPr>
              <w:spacing w:before="20" w:after="20"/>
            </w:pPr>
            <w:r/>
            <w:r>
              <w:rPr>
                <w:rFonts w:ascii="Verdana" w:hAnsi="Verdana"/>
                <w:b w:val="0"/>
                <w:sz w:val="16"/>
              </w:rPr>
              <w:t>Factor de cuantificación del índice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0 40 016</w:t>
            </w:r>
          </w:p>
        </w:tc>
        <w:tc>
          <w:tcPr>
            <w:tcW w:type="dxa" w:w="2163"/>
          </w:tcPr>
          <w:p>
            <w:pPr>
              <w:spacing w:before="20" w:after="20"/>
            </w:pPr>
            <w:r/>
            <w:r>
              <w:rPr>
                <w:rFonts w:ascii="Verdana" w:hAnsi="Verdana"/>
                <w:b w:val="0"/>
                <w:sz w:val="16"/>
              </w:rPr>
              <w:t>Media cuadrática residual en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Identificación de la base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0 40 017</w:t>
            </w:r>
          </w:p>
        </w:tc>
        <w:tc>
          <w:tcPr>
            <w:tcW w:type="dxa" w:w="2163"/>
          </w:tcPr>
          <w:p>
            <w:pPr>
              <w:spacing w:before="20" w:after="20"/>
            </w:pPr>
            <w:r/>
            <w:r>
              <w:rPr>
                <w:rFonts w:ascii="Verdana" w:hAnsi="Verdana"/>
                <w:b w:val="0"/>
                <w:sz w:val="16"/>
              </w:rPr>
              <w:t>Índice no normalizado del componente principal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