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Categoría 22: Secuencias de sustancias químicas y aerosoles</w:t>
      </w:r>
    </w:p>
    <w:p>
      <w:r>
        <w:rPr>
          <w:rFonts w:ascii="Verdana" w:hAnsi="Verdana"/>
          <w:i/>
          <w:sz w:val="14"/>
        </w:rPr>
        <w:t>Note 4: Se necesitan algunos descriptores más para reducir el volumen de trabajo con respecto a la base de datos de la estación, por ejemplo para la identificación del estado federal y la identificación de autopista.</w:t>
      </w:r>
    </w:p>
    <w:p>
      <w:r>
        <w:rPr>
          <w:rFonts w:ascii="Verdana" w:hAnsi="Verdana"/>
          <w:i/>
          <w:sz w:val="14"/>
        </w:rPr>
        <w:t>Note 7: Los mensajes BUFR compuestos pueden describirse dentro de la Sección de descripción de datos, según corresponda (por ejemplo: 3 01 041, 3 04 001, 3 04 002, 3 04 003, 3 04 004, 3 04 005, 3 04 006).</w:t>
      </w:r>
    </w:p>
    <w:p>
      <w:r>
        <w:rPr>
          <w:rFonts w:ascii="Verdana" w:hAnsi="Verdana"/>
          <w:i/>
          <w:sz w:val="14"/>
        </w:rPr>
        <w:t>Note 10: El decibelio (dB) es una unidad logarítmica que mide la potencia relativa o los valores relativos de dos densidades de flujo, especialmente de la intensidad del sonido y de las densidades de la potencia de la radio y del radar. En la meteorología por radar, la escala logarítmica, expresada en dBZ, se usa para medir el factor de reflectividad del radar (obtenido del Glosario de Meteorología de la Sociedad Meteorológica Americana).</w:t>
      </w:r>
    </w:p>
    <w:p>
      <w:r>
        <w:rPr>
          <w:rFonts w:ascii="Verdana" w:hAnsi="Verdana"/>
          <w:i/>
          <w:sz w:val="14"/>
        </w:rPr>
        <w:t>Note 15: Los descriptores del 3 03 021 al 3 03 027 no están disponibles en la clave CREX.</w:t>
      </w:r>
    </w:p>
    <w:p>
      <w:r>
        <w:rPr>
          <w:rFonts w:ascii="Verdana" w:hAnsi="Verdana"/>
          <w:i/>
          <w:sz w:val="14"/>
        </w:rPr>
        <w:t>Note 16: La identificación de la hora se refiere al comienzo del período de un mes.</w:t>
      </w:r>
    </w:p>
    <w:p>
      <w:r>
        <w:rPr>
          <w:rFonts w:ascii="Verdana" w:hAnsi="Verdana"/>
          <w:i/>
          <w:sz w:val="14"/>
        </w:rPr>
        <w:t>Note 32: Puede considerarse que, como sólo son posibles las adiciones, sólo se permiten líneas completas; pero puede pensarse que las zonas locales requerirán tanto cambios como adiciones, de modo que en cualquier caso es mejor y más claro ofrecer descripciones para todos los campos.</w:t>
      </w:r>
    </w:p>
    <w:p>
      <w:r>
        <w:rPr>
          <w:rFonts w:ascii="Verdana" w:hAnsi="Verdana"/>
          <w:i/>
          <w:sz w:val="14"/>
        </w:rPr>
        <w:t>Note 33: Para elementos que definen o son definidos es preferible utilizar los diferentes descriptores de la Clase 00, del mismo modo que los diferentes descriptores corresponden a la presión considerada como coordenada o a la presión medida en determinado punto; de otra manera se necesitarían reglas especiales para interpretar un mensaje. Las entradas 0 00 010 a 0 00 012 definen a F, X e Y para las Tablas B y D; la entrada 0 00 030 es un descriptor que se utiliza para datos y proporciona los valores de F, X e Y que definen secuencias para las entradas de la Tabla D.</w:t>
      </w:r>
    </w:p>
    <w:p>
      <w:r>
        <w:rPr>
          <w:rFonts w:ascii="Verdana" w:hAnsi="Verdana"/>
          <w:i/>
          <w:sz w:val="14"/>
        </w:rPr>
        <w:t>Note 34: El desplazamiento de latitud 0 05 015 representa la diferencia de latitud respecto de la latitud del lugar de lanzamiento. El desplazamiento de longitud 0 06 015 representa la diferencia de longitud respecto de la longitud del lugar de lanzamiento.</w:t>
      </w:r>
    </w:p>
    <w:p>
      <w:r>
        <w:rPr>
          <w:rFonts w:ascii="Verdana" w:hAnsi="Verdana"/>
          <w:i/>
          <w:sz w:val="14"/>
        </w:rPr>
        <w:t>Note 35: El desplazamiento o período largo 0 04 086 representa la diferencia de tiempo desde el momento del lanzamiento 3 01 013 (en segundos).</w:t>
      </w:r>
    </w:p>
    <w:p>
      <w:r>
        <w:rPr>
          <w:rFonts w:ascii="Verdana" w:hAnsi="Verdana"/>
          <w:i/>
          <w:sz w:val="14"/>
        </w:rPr>
        <w:t>Note 43: La separación de datos satelitales de nivel único en serie de mensajes BUFR ayuda a la compresión y aumenta la eficacia de la transmisión y el almacenamiento de datos.</w:t>
      </w:r>
    </w:p>
    <w:p>
      <w:r>
        <w:rPr>
          <w:rFonts w:ascii="Verdana" w:hAnsi="Verdana"/>
          <w:i/>
          <w:sz w:val="14"/>
        </w:rPr>
        <w:t>Note 49: La mayoría de las estaciones tienen solo una posición sobre la carretera y un sensor de la temperatura subsuperficial. Se han introducido repeticiones diferidas para aumentar la flexibilidad y el rendimiento volumétrico.</w:t>
      </w:r>
    </w:p>
    <w:p>
      <w:r>
        <w:rPr>
          <w:rFonts w:ascii="Verdana" w:hAnsi="Verdana"/>
          <w:i/>
          <w:sz w:val="14"/>
        </w:rPr>
        <w:t>Note 62: Estos descriptores no deben utilizarse en CREX para la transmisión.</w:t>
      </w:r>
    </w:p>
    <w:p>
      <w:r>
        <w:rPr>
          <w:rFonts w:ascii="Verdana" w:hAnsi="Verdana"/>
          <w:i/>
          <w:sz w:val="14"/>
        </w:rPr>
        <w:t>Note 63: Estas entradas tienen la ventaja de permitir actualizar las cifras de clave y la descripción de datos de la Tabla 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2163"/>
        <w:gridCol w:w="2163"/>
        <w:gridCol w:w="2163"/>
        <w:gridCol w:w="2163"/>
        <w:gridCol w:w="2163"/>
        <w:gridCol w:w="2163"/>
        <w:gridCol w:w="2163"/>
      </w:tblGrid>
      <w:tr>
        <w:trPr>
          <w:tblHeader/>
        </w:trPr>
        <w:tc>
          <w:tcPr>
            <w:tcW w:type="dxa" w:w="2163"/>
            <w:shd w:val="clear" w:color="auto" w:fill="D9D9D9"/>
          </w:tcPr>
          <w:p>
            <w:pPr>
              <w:spacing w:before="20" w:after="20"/>
            </w:pPr>
            <w:r/>
            <w:r>
              <w:rPr>
                <w:rFonts w:ascii="Verdana" w:hAnsi="Verdana"/>
                <w:b w:val="0"/>
                <w:sz w:val="16"/>
              </w:rPr>
              <w:t>FXY1</w:t>
            </w:r>
          </w:p>
        </w:tc>
        <w:tc>
          <w:tcPr>
            <w:tcW w:type="dxa" w:w="2163"/>
            <w:shd w:val="clear" w:color="auto" w:fill="D9D9D9"/>
          </w:tcPr>
          <w:p>
            <w:pPr>
              <w:spacing w:before="20" w:after="20"/>
            </w:pPr>
            <w:r/>
            <w:r>
              <w:rPr>
                <w:rFonts w:ascii="Verdana" w:hAnsi="Verdana"/>
                <w:b w:val="0"/>
                <w:sz w:val="16"/>
              </w:rPr>
              <w:t>TÍTULO</w:t>
            </w:r>
          </w:p>
        </w:tc>
        <w:tc>
          <w:tcPr>
            <w:tcW w:type="dxa" w:w="2163"/>
            <w:shd w:val="clear" w:color="auto" w:fill="D9D9D9"/>
          </w:tcPr>
          <w:p>
            <w:pPr>
              <w:spacing w:before="20" w:after="20"/>
            </w:pPr>
            <w:r/>
            <w:r>
              <w:rPr>
                <w:rFonts w:ascii="Verdana" w:hAnsi="Verdana"/>
                <w:b w:val="0"/>
                <w:sz w:val="16"/>
              </w:rPr>
              <w:t>SUBTÍTULO</w:t>
            </w:r>
          </w:p>
        </w:tc>
        <w:tc>
          <w:tcPr>
            <w:tcW w:type="dxa" w:w="2163"/>
            <w:shd w:val="clear" w:color="auto" w:fill="D9D9D9"/>
          </w:tcPr>
          <w:p>
            <w:pPr>
              <w:spacing w:before="20" w:after="20"/>
            </w:pPr>
            <w:r/>
            <w:r>
              <w:rPr>
                <w:rFonts w:ascii="Verdana" w:hAnsi="Verdana"/>
                <w:b w:val="0"/>
                <w:sz w:val="16"/>
              </w:rPr>
              <w:t>FXY2</w:t>
            </w:r>
          </w:p>
        </w:tc>
        <w:tc>
          <w:tcPr>
            <w:tcW w:type="dxa" w:w="2163"/>
            <w:shd w:val="clear" w:color="auto" w:fill="D9D9D9"/>
          </w:tcPr>
          <w:p>
            <w:pPr>
              <w:spacing w:before="20" w:after="20"/>
            </w:pPr>
            <w:r/>
            <w:r>
              <w:rPr>
                <w:rFonts w:ascii="Verdana" w:hAnsi="Verdana"/>
                <w:b w:val="0"/>
                <w:sz w:val="16"/>
              </w:rPr>
              <w:t>NOMBRE DEL ELEMENTO</w:t>
            </w:r>
          </w:p>
        </w:tc>
        <w:tc>
          <w:tcPr>
            <w:tcW w:type="dxa" w:w="2163"/>
            <w:shd w:val="clear" w:color="auto" w:fill="D9D9D9"/>
          </w:tcPr>
          <w:p>
            <w:pPr>
              <w:spacing w:before="20" w:after="20"/>
            </w:pPr>
            <w:r/>
            <w:r>
              <w:rPr>
                <w:rFonts w:ascii="Verdana" w:hAnsi="Verdana"/>
                <w:b w:val="0"/>
                <w:sz w:val="16"/>
              </w:rPr>
              <w:t>DESCRIPCIÓN DEL ELEMENTO</w:t>
            </w:r>
          </w:p>
        </w:tc>
        <w:tc>
          <w:tcPr>
            <w:tcW w:type="dxa" w:w="2163"/>
            <w:shd w:val="clear" w:color="auto" w:fill="D9D9D9"/>
          </w:tcPr>
          <w:p>
            <w:pPr>
              <w:spacing w:before="20" w:after="20"/>
            </w:pPr>
            <w:r/>
            <w:r>
              <w:rPr>
                <w:rFonts w:ascii="Verdana" w:hAnsi="Verdana"/>
                <w:b w:val="0"/>
                <w:sz w:val="16"/>
              </w:rPr>
              <w:t>NOTA</w:t>
            </w:r>
          </w:p>
        </w:tc>
      </w:tr>
      <w:tr>
        <w:trPr>
          <w:cantSplit/>
        </w:trPr>
        <w:tc>
          <w:tcPr>
            <w:tcW w:type="dxa" w:w="2163"/>
          </w:tcPr>
          <w:p>
            <w:pPr>
              <w:spacing w:before="20" w:after="20"/>
            </w:pPr>
            <w:r>
              <w:rPr>
                <w:b/>
              </w:rPr>
            </w:r>
            <w:r>
              <w:rPr>
                <w:rFonts w:ascii="Verdana" w:hAnsi="Verdana"/>
                <w:b/>
                <w:sz w:val="16"/>
              </w:rPr>
              <w:t>3 22 028</w:t>
            </w:r>
          </w:p>
        </w:tc>
        <w:tc>
          <w:tcPr>
            <w:tcW w:type="dxa" w:w="2163"/>
          </w:tcPr>
          <w:p>
            <w:pPr>
              <w:spacing w:before="20" w:after="20"/>
            </w:pPr>
            <w:r>
              <w:rPr>
                <w:b/>
              </w:rPr>
            </w:r>
            <w:r>
              <w:rPr>
                <w:rFonts w:ascii="Verdana" w:hAnsi="Verdana"/>
                <w:b/>
                <w:sz w:val="16"/>
              </w:rPr>
              <w:t>(GOME-2 de METOP)</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0 01 007</w:t>
            </w:r>
          </w:p>
        </w:tc>
        <w:tc>
          <w:tcPr>
            <w:tcW w:type="dxa" w:w="2163"/>
          </w:tcPr>
          <w:p>
            <w:pPr>
              <w:spacing w:before="20" w:after="20"/>
            </w:pPr>
            <w:r/>
            <w:r>
              <w:rPr>
                <w:rFonts w:ascii="Verdana" w:hAnsi="Verdana"/>
                <w:b w:val="0"/>
                <w:sz w:val="16"/>
              </w:rPr>
              <w:t>Identificador del satélite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0 02 019</w:t>
            </w:r>
          </w:p>
        </w:tc>
        <w:tc>
          <w:tcPr>
            <w:tcW w:type="dxa" w:w="2163"/>
          </w:tcPr>
          <w:p>
            <w:pPr>
              <w:spacing w:before="20" w:after="20"/>
            </w:pPr>
            <w:r/>
            <w:r>
              <w:rPr>
                <w:rFonts w:ascii="Verdana" w:hAnsi="Verdana"/>
                <w:b w:val="0"/>
                <w:sz w:val="16"/>
              </w:rPr>
              <w:t>Instrumentos de satélite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0 04 001</w:t>
            </w:r>
          </w:p>
        </w:tc>
        <w:tc>
          <w:tcPr>
            <w:tcW w:type="dxa" w:w="2163"/>
          </w:tcPr>
          <w:p>
            <w:pPr>
              <w:spacing w:before="20" w:after="20"/>
            </w:pPr>
            <w:r/>
            <w:r>
              <w:rPr>
                <w:rFonts w:ascii="Verdana" w:hAnsi="Verdana"/>
                <w:b w:val="0"/>
                <w:sz w:val="16"/>
              </w:rPr>
              <w:t>Año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0 04 002</w:t>
            </w:r>
          </w:p>
        </w:tc>
        <w:tc>
          <w:tcPr>
            <w:tcW w:type="dxa" w:w="2163"/>
          </w:tcPr>
          <w:p>
            <w:pPr>
              <w:spacing w:before="20" w:after="20"/>
            </w:pPr>
            <w:r/>
            <w:r>
              <w:rPr>
                <w:rFonts w:ascii="Verdana" w:hAnsi="Verdana"/>
                <w:b w:val="0"/>
                <w:sz w:val="16"/>
              </w:rPr>
              <w:t>Mes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0 04 003</w:t>
            </w:r>
          </w:p>
        </w:tc>
        <w:tc>
          <w:tcPr>
            <w:tcW w:type="dxa" w:w="2163"/>
          </w:tcPr>
          <w:p>
            <w:pPr>
              <w:spacing w:before="20" w:after="20"/>
            </w:pPr>
            <w:r/>
            <w:r>
              <w:rPr>
                <w:rFonts w:ascii="Verdana" w:hAnsi="Verdana"/>
                <w:b w:val="0"/>
                <w:sz w:val="16"/>
              </w:rPr>
              <w:t>Día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0 04 004</w:t>
            </w:r>
          </w:p>
        </w:tc>
        <w:tc>
          <w:tcPr>
            <w:tcW w:type="dxa" w:w="2163"/>
          </w:tcPr>
          <w:p>
            <w:pPr>
              <w:spacing w:before="20" w:after="20"/>
            </w:pPr>
            <w:r/>
            <w:r>
              <w:rPr>
                <w:rFonts w:ascii="Verdana" w:hAnsi="Verdana"/>
                <w:b w:val="0"/>
                <w:sz w:val="16"/>
              </w:rPr>
              <w:t>Hora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0 04 005</w:t>
            </w:r>
          </w:p>
        </w:tc>
        <w:tc>
          <w:tcPr>
            <w:tcW w:type="dxa" w:w="2163"/>
          </w:tcPr>
          <w:p>
            <w:pPr>
              <w:spacing w:before="20" w:after="20"/>
            </w:pPr>
            <w:r/>
            <w:r>
              <w:rPr>
                <w:rFonts w:ascii="Verdana" w:hAnsi="Verdana"/>
                <w:b w:val="0"/>
                <w:sz w:val="16"/>
              </w:rPr>
              <w:t>Minuto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0 04 006</w:t>
            </w:r>
          </w:p>
        </w:tc>
        <w:tc>
          <w:tcPr>
            <w:tcW w:type="dxa" w:w="2163"/>
          </w:tcPr>
          <w:p>
            <w:pPr>
              <w:spacing w:before="20" w:after="20"/>
            </w:pPr>
            <w:r/>
            <w:r>
              <w:rPr>
                <w:rFonts w:ascii="Verdana" w:hAnsi="Verdana"/>
                <w:b w:val="0"/>
                <w:sz w:val="16"/>
              </w:rPr>
              <w:t>Segundo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0 05 001</w:t>
            </w:r>
          </w:p>
        </w:tc>
        <w:tc>
          <w:tcPr>
            <w:tcW w:type="dxa" w:w="2163"/>
          </w:tcPr>
          <w:p>
            <w:pPr>
              <w:spacing w:before="20" w:after="20"/>
            </w:pPr>
            <w:r/>
            <w:r>
              <w:rPr>
                <w:rFonts w:ascii="Verdana" w:hAnsi="Verdana"/>
                <w:b w:val="0"/>
                <w:sz w:val="16"/>
              </w:rPr>
              <w:t>Latitud (gran exactitud)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0 06 001</w:t>
            </w:r>
          </w:p>
        </w:tc>
        <w:tc>
          <w:tcPr>
            <w:tcW w:type="dxa" w:w="2163"/>
          </w:tcPr>
          <w:p>
            <w:pPr>
              <w:spacing w:before="20" w:after="20"/>
            </w:pPr>
            <w:r/>
            <w:r>
              <w:rPr>
                <w:rFonts w:ascii="Verdana" w:hAnsi="Verdana"/>
                <w:b w:val="0"/>
                <w:sz w:val="16"/>
              </w:rPr>
              <w:t>Longitud (gran exactitud)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0 27 001</w:t>
            </w:r>
          </w:p>
        </w:tc>
        <w:tc>
          <w:tcPr>
            <w:tcW w:type="dxa" w:w="2163"/>
          </w:tcPr>
          <w:p>
            <w:pPr>
              <w:spacing w:before="20" w:after="20"/>
            </w:pPr>
            <w:r/>
            <w:r>
              <w:rPr>
                <w:rFonts w:ascii="Verdana" w:hAnsi="Verdana"/>
                <w:b w:val="0"/>
                <w:sz w:val="16"/>
              </w:rPr>
              <w:t>Latitud (gran exactitud)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0 28 001</w:t>
            </w:r>
          </w:p>
        </w:tc>
        <w:tc>
          <w:tcPr>
            <w:tcW w:type="dxa" w:w="2163"/>
          </w:tcPr>
          <w:p>
            <w:pPr>
              <w:spacing w:before="20" w:after="20"/>
            </w:pPr>
            <w:r/>
            <w:r>
              <w:rPr>
                <w:rFonts w:ascii="Verdana" w:hAnsi="Verdana"/>
                <w:b w:val="0"/>
                <w:sz w:val="16"/>
              </w:rPr>
              <w:t>Longitud (gran exactitud)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0 27 001</w:t>
            </w:r>
          </w:p>
        </w:tc>
        <w:tc>
          <w:tcPr>
            <w:tcW w:type="dxa" w:w="2163"/>
          </w:tcPr>
          <w:p>
            <w:pPr>
              <w:spacing w:before="20" w:after="20"/>
            </w:pPr>
            <w:r/>
            <w:r>
              <w:rPr>
                <w:rFonts w:ascii="Verdana" w:hAnsi="Verdana"/>
                <w:b w:val="0"/>
                <w:sz w:val="16"/>
              </w:rPr>
              <w:t>Latitud (gran exactitud)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0 28 001</w:t>
            </w:r>
          </w:p>
        </w:tc>
        <w:tc>
          <w:tcPr>
            <w:tcW w:type="dxa" w:w="2163"/>
          </w:tcPr>
          <w:p>
            <w:pPr>
              <w:spacing w:before="20" w:after="20"/>
            </w:pPr>
            <w:r/>
            <w:r>
              <w:rPr>
                <w:rFonts w:ascii="Verdana" w:hAnsi="Verdana"/>
                <w:b w:val="0"/>
                <w:sz w:val="16"/>
              </w:rPr>
              <w:t>Longitud (gran exactitud)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0 27 001</w:t>
            </w:r>
          </w:p>
        </w:tc>
        <w:tc>
          <w:tcPr>
            <w:tcW w:type="dxa" w:w="2163"/>
          </w:tcPr>
          <w:p>
            <w:pPr>
              <w:spacing w:before="20" w:after="20"/>
            </w:pPr>
            <w:r/>
            <w:r>
              <w:rPr>
                <w:rFonts w:ascii="Verdana" w:hAnsi="Verdana"/>
                <w:b w:val="0"/>
                <w:sz w:val="16"/>
              </w:rPr>
              <w:t>Latitud (gran exactitud)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0 28 001</w:t>
            </w:r>
          </w:p>
        </w:tc>
        <w:tc>
          <w:tcPr>
            <w:tcW w:type="dxa" w:w="2163"/>
          </w:tcPr>
          <w:p>
            <w:pPr>
              <w:spacing w:before="20" w:after="20"/>
            </w:pPr>
            <w:r/>
            <w:r>
              <w:rPr>
                <w:rFonts w:ascii="Verdana" w:hAnsi="Verdana"/>
                <w:b w:val="0"/>
                <w:sz w:val="16"/>
              </w:rPr>
              <w:t>Longitud (gran exactitud)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0 27 001</w:t>
            </w:r>
          </w:p>
        </w:tc>
        <w:tc>
          <w:tcPr>
            <w:tcW w:type="dxa" w:w="2163"/>
          </w:tcPr>
          <w:p>
            <w:pPr>
              <w:spacing w:before="20" w:after="20"/>
            </w:pPr>
            <w:r/>
            <w:r>
              <w:rPr>
                <w:rFonts w:ascii="Verdana" w:hAnsi="Verdana"/>
                <w:b w:val="0"/>
                <w:sz w:val="16"/>
              </w:rPr>
              <w:t>Latitud (gran exactitud)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0 28 001</w:t>
            </w:r>
          </w:p>
        </w:tc>
        <w:tc>
          <w:tcPr>
            <w:tcW w:type="dxa" w:w="2163"/>
          </w:tcPr>
          <w:p>
            <w:pPr>
              <w:spacing w:before="20" w:after="20"/>
            </w:pPr>
            <w:r/>
            <w:r>
              <w:rPr>
                <w:rFonts w:ascii="Verdana" w:hAnsi="Verdana"/>
                <w:b w:val="0"/>
                <w:sz w:val="16"/>
              </w:rPr>
              <w:t>Longitud (gran exactitud)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0 10 001</w:t>
            </w:r>
          </w:p>
        </w:tc>
        <w:tc>
          <w:tcPr>
            <w:tcW w:type="dxa" w:w="2163"/>
          </w:tcPr>
          <w:p>
            <w:pPr>
              <w:spacing w:before="20" w:after="20"/>
            </w:pPr>
            <w:r/>
            <w:r>
              <w:rPr>
                <w:rFonts w:ascii="Verdana" w:hAnsi="Verdana"/>
                <w:b w:val="0"/>
                <w:sz w:val="16"/>
              </w:rPr>
              <w:t>Altura del terreno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0 14 019</w:t>
            </w:r>
          </w:p>
        </w:tc>
        <w:tc>
          <w:tcPr>
            <w:tcW w:type="dxa" w:w="2163"/>
          </w:tcPr>
          <w:p>
            <w:pPr>
              <w:spacing w:before="20" w:after="20"/>
            </w:pPr>
            <w:r/>
            <w:r>
              <w:rPr>
                <w:rFonts w:ascii="Verdana" w:hAnsi="Verdana"/>
                <w:b w:val="0"/>
                <w:sz w:val="16"/>
              </w:rPr>
              <w:t>Albedo en superficie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0 07 025</w:t>
            </w:r>
          </w:p>
        </w:tc>
        <w:tc>
          <w:tcPr>
            <w:tcW w:type="dxa" w:w="2163"/>
          </w:tcPr>
          <w:p>
            <w:pPr>
              <w:spacing w:before="20" w:after="20"/>
            </w:pPr>
            <w:r/>
            <w:r>
              <w:rPr>
                <w:rFonts w:ascii="Verdana" w:hAnsi="Verdana"/>
                <w:b w:val="0"/>
                <w:sz w:val="16"/>
              </w:rPr>
              <w:t>Ángulo cenital del sol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0 10 080</w:t>
            </w:r>
          </w:p>
        </w:tc>
        <w:tc>
          <w:tcPr>
            <w:tcW w:type="dxa" w:w="2163"/>
          </w:tcPr>
          <w:p>
            <w:pPr>
              <w:spacing w:before="20" w:after="20"/>
            </w:pPr>
            <w:r/>
            <w:r>
              <w:rPr>
                <w:rFonts w:ascii="Verdana" w:hAnsi="Verdana"/>
                <w:b w:val="0"/>
                <w:sz w:val="16"/>
              </w:rPr>
              <w:t>Ángulo cenital de visión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0 05 023</w:t>
            </w:r>
          </w:p>
        </w:tc>
        <w:tc>
          <w:tcPr>
            <w:tcW w:type="dxa" w:w="2163"/>
          </w:tcPr>
          <w:p>
            <w:pPr>
              <w:spacing w:before="20" w:after="20"/>
            </w:pPr>
            <w:r/>
            <w:r>
              <w:rPr>
                <w:rFonts w:ascii="Verdana" w:hAnsi="Verdana"/>
                <w:b w:val="0"/>
                <w:sz w:val="16"/>
              </w:rPr>
              <w:t>Diferencia entre azimut solar y satelital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0 20 010</w:t>
            </w:r>
          </w:p>
        </w:tc>
        <w:tc>
          <w:tcPr>
            <w:tcW w:type="dxa" w:w="2163"/>
          </w:tcPr>
          <w:p>
            <w:pPr>
              <w:spacing w:before="20" w:after="20"/>
            </w:pPr>
            <w:r/>
            <w:r>
              <w:rPr>
                <w:rFonts w:ascii="Verdana" w:hAnsi="Verdana"/>
                <w:b w:val="0"/>
                <w:sz w:val="16"/>
              </w:rPr>
              <w:t>Cubierta de nubes (total)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0 08 003</w:t>
            </w:r>
          </w:p>
        </w:tc>
        <w:tc>
          <w:tcPr>
            <w:tcW w:type="dxa" w:w="2163"/>
          </w:tcPr>
          <w:p>
            <w:pPr>
              <w:spacing w:before="20" w:after="20"/>
            </w:pPr>
            <w:r/>
            <w:r>
              <w:rPr>
                <w:rFonts w:ascii="Verdana" w:hAnsi="Verdana"/>
                <w:b w:val="0"/>
                <w:sz w:val="16"/>
              </w:rPr>
              <w:t>Significación vertical (observaciones satelitales)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0 07 004</w:t>
            </w:r>
          </w:p>
        </w:tc>
        <w:tc>
          <w:tcPr>
            <w:tcW w:type="dxa" w:w="2163"/>
          </w:tcPr>
          <w:p>
            <w:pPr>
              <w:spacing w:before="20" w:after="20"/>
            </w:pPr>
            <w:r/>
            <w:r>
              <w:rPr>
                <w:rFonts w:ascii="Verdana" w:hAnsi="Verdana"/>
                <w:b w:val="0"/>
                <w:sz w:val="16"/>
              </w:rPr>
              <w:t>Presión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0 14 026</w:t>
            </w:r>
          </w:p>
        </w:tc>
        <w:tc>
          <w:tcPr>
            <w:tcW w:type="dxa" w:w="2163"/>
          </w:tcPr>
          <w:p>
            <w:pPr>
              <w:spacing w:before="20" w:after="20"/>
            </w:pPr>
            <w:r/>
            <w:r>
              <w:rPr>
                <w:rFonts w:ascii="Verdana" w:hAnsi="Verdana"/>
                <w:b w:val="0"/>
                <w:sz w:val="16"/>
              </w:rPr>
              <w:t>Albedo en la cima de las nubes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0 20 014</w:t>
            </w:r>
          </w:p>
        </w:tc>
        <w:tc>
          <w:tcPr>
            <w:tcW w:type="dxa" w:w="2163"/>
          </w:tcPr>
          <w:p>
            <w:pPr>
              <w:spacing w:before="20" w:after="20"/>
            </w:pPr>
            <w:r/>
            <w:r>
              <w:rPr>
                <w:rFonts w:ascii="Verdana" w:hAnsi="Verdana"/>
                <w:b w:val="0"/>
                <w:sz w:val="16"/>
              </w:rPr>
              <w:t>Altura de la cima de las nubes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0 13 093</w:t>
            </w:r>
          </w:p>
        </w:tc>
        <w:tc>
          <w:tcPr>
            <w:tcW w:type="dxa" w:w="2163"/>
          </w:tcPr>
          <w:p>
            <w:pPr>
              <w:spacing w:before="20" w:after="20"/>
            </w:pPr>
            <w:r/>
            <w:r>
              <w:rPr>
                <w:rFonts w:ascii="Verdana" w:hAnsi="Verdana"/>
                <w:b w:val="0"/>
                <w:sz w:val="16"/>
              </w:rPr>
              <w:t>Espesor óptico de la nube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1 05 000</w:t>
            </w:r>
          </w:p>
        </w:tc>
        <w:tc>
          <w:tcPr>
            <w:tcW w:type="dxa" w:w="2163"/>
          </w:tcPr>
          <w:p>
            <w:pPr>
              <w:spacing w:before="20" w:after="20"/>
            </w:pPr>
            <w:r/>
            <w:r>
              <w:rPr>
                <w:rFonts w:ascii="Verdana" w:hAnsi="Verdana"/>
                <w:b w:val="0"/>
                <w:sz w:val="16"/>
              </w:rPr>
              <w:t>Repetición diferida de 5 descriptores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0 31 001</w:t>
            </w:r>
          </w:p>
        </w:tc>
        <w:tc>
          <w:tcPr>
            <w:tcW w:type="dxa" w:w="2163"/>
          </w:tcPr>
          <w:p>
            <w:pPr>
              <w:spacing w:before="20" w:after="20"/>
            </w:pPr>
            <w:r/>
            <w:r>
              <w:rPr>
                <w:rFonts w:ascii="Verdana" w:hAnsi="Verdana"/>
                <w:b w:val="0"/>
                <w:sz w:val="16"/>
              </w:rPr>
              <w:t>Factor de repetición diferida del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0 07 004</w:t>
            </w:r>
          </w:p>
        </w:tc>
        <w:tc>
          <w:tcPr>
            <w:tcW w:type="dxa" w:w="2163"/>
          </w:tcPr>
          <w:p>
            <w:pPr>
              <w:spacing w:before="20" w:after="20"/>
            </w:pPr>
            <w:r/>
            <w:r>
              <w:rPr>
                <w:rFonts w:ascii="Verdana" w:hAnsi="Verdana"/>
                <w:b w:val="0"/>
                <w:sz w:val="16"/>
              </w:rPr>
              <w:t>Presión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0 07 004</w:t>
            </w:r>
          </w:p>
        </w:tc>
        <w:tc>
          <w:tcPr>
            <w:tcW w:type="dxa" w:w="2163"/>
          </w:tcPr>
          <w:p>
            <w:pPr>
              <w:spacing w:before="20" w:after="20"/>
            </w:pPr>
            <w:r/>
            <w:r>
              <w:rPr>
                <w:rFonts w:ascii="Verdana" w:hAnsi="Verdana"/>
                <w:b w:val="0"/>
                <w:sz w:val="16"/>
              </w:rPr>
              <w:t>Presión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0 08 043</w:t>
            </w:r>
          </w:p>
        </w:tc>
        <w:tc>
          <w:tcPr>
            <w:tcW w:type="dxa" w:w="2163"/>
          </w:tcPr>
          <w:p>
            <w:pPr>
              <w:spacing w:before="20" w:after="20"/>
            </w:pPr>
            <w:r/>
            <w:r>
              <w:rPr>
                <w:rFonts w:ascii="Verdana" w:hAnsi="Verdana"/>
                <w:b w:val="0"/>
                <w:sz w:val="16"/>
              </w:rPr>
              <w:t>Tipo de componente atmosférico químico o físico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0 08 044</w:t>
            </w:r>
          </w:p>
        </w:tc>
        <w:tc>
          <w:tcPr>
            <w:tcW w:type="dxa" w:w="2163"/>
          </w:tcPr>
          <w:p>
            <w:pPr>
              <w:spacing w:before="20" w:after="20"/>
            </w:pPr>
            <w:r/>
            <w:r>
              <w:rPr>
                <w:rFonts w:ascii="Verdana" w:hAnsi="Verdana"/>
                <w:b w:val="0"/>
                <w:sz w:val="16"/>
              </w:rPr>
              <w:t>Número de registro del CAS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0 15 021</w:t>
            </w:r>
          </w:p>
        </w:tc>
        <w:tc>
          <w:tcPr>
            <w:tcW w:type="dxa" w:w="2163"/>
          </w:tcPr>
          <w:p>
            <w:pPr>
              <w:spacing w:before="20" w:after="20"/>
            </w:pPr>
            <w:r/>
            <w:r>
              <w:rPr>
                <w:rFonts w:ascii="Verdana" w:hAnsi="Verdana"/>
                <w:b w:val="0"/>
                <w:sz w:val="16"/>
              </w:rPr>
              <w:t>Densidad másica integrada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bl>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