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10</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10 063  Caractéristique de la tendance barométrique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hausse, puis en baisse; la pression atmosphérique est la même ou plus haute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En hausse, puis stationnaire; ou en hausse, puis en hausse plus lente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En hausse (régulière ou irrégulière)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En baisse ou stationnaire, puis en hausse; ou en hausse, puis en hausse plus rapide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Stationnaire; la pression atmosphérique est la même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 baisse, puis en hausse; la pression atmosphérique est la même ou plus basse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En baisse, puis stationnaire; ou en baisse, puis en baisse plus lente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En baisse (régulière ou irrégulière)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Stationnaire ou en hausse, puis en baisse; ou en baisse, puis en baisse plus rapide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10 064  Niveau de croisière - SIGMET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Subsonique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