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11</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11 030  Degré de turbulence détaillé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Turbulence modérée (MOD)</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Turbulence forte (SEV)</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Turbulence extrême, en atmosphère claire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Turbulence extrême,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Turbulence extrême, dans les nuages ou en atmosphère claire, non précisé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Turbulence faible, ponctuellement modérée (ISOL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Turbulence faible, occasionnellement modérée (OCNL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Turbulence faible, fréquemment modérée (FRQ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Turbulence modérée, ponctuellement forte (MOD ISOL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Turbulence modérée, occasionnellement forte (MOD OCNL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Turbulence modérée, fréquemment forte (MOD FRQ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Turbulence forte, ponctuellement extrême (SEV ISOL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Turbulence forte, occasionnellement extrême (SEV OCNL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Turbulence forte, fréquemment extrême (SEV FRQ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11 031  Degré de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Turbulence extrême, en atmosphère claire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Turbulence extrême,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Turbulence extrême, dans les nuages ou en atmosphère claire, non précisé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11 037  Indice de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max. &lt;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0,1 ≤ max.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0,1 ≤ max.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0,5 ≤ moy. &lt; 0,8</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0,5 ≤ moy. &lt; 0,8</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0,8 ≤ moy.</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29-62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r>
    </w:tbl>
    <w:p/>
    <w:p>
      <w:r>
        <w:rPr>
          <w:rFonts w:ascii="Verdana" w:hAnsi="Verdana"/>
          <w:b/>
          <w:sz w:val="18"/>
        </w:rPr>
        <w:t>0 11 038  Heure du taux maximal de dissipation des tourbillons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Pas d'information disponible à ce sujet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11 039  Étalement dans le temps de l'apparition du taux maximal de dissipation des tourbillons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15-59</w:t>
            </w:r>
          </w:p>
        </w:tc>
        <w:tc>
          <w:tcPr>
            <w:tcW w:type="dxa" w:w="5046"/>
          </w:tcPr>
          <w:p>
            <w:pPr>
              <w:spacing w:before="20" w:after="20"/>
            </w:pPr>
            <w:r/>
            <w:r>
              <w:rPr>
                <w:rFonts w:ascii="Verdana" w:hAnsi="Verdana"/>
                <w:b w:val="0"/>
                <w:sz w:val="16"/>
              </w:rPr>
              <w:t>Suite de ce qui précède jusqu'à 59 ≤ min &lt;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Aucune information pertinente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