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22</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22 056  Direction du profil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Profil ascendant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 descendant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22 060  État de l'ancre flottante - flotteur lagrangien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 flotteur n'a plus d'ancre flottante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L'ancre flottante est en place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L'État de l'ancre flottante est 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22 061  État de la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Calme (sans rides)</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Calme (ridée)</w:t>
            </w:r>
          </w:p>
        </w:tc>
        <w:tc>
          <w:tcPr>
            <w:tcW w:type="dxa" w:w="3784"/>
          </w:tcPr>
          <w:p>
            <w:pPr>
              <w:spacing w:before="20" w:after="20"/>
            </w:pPr>
            <w:r/>
            <w:r>
              <w:rPr>
                <w:rFonts w:ascii="Verdana" w:hAnsi="Verdana"/>
                <w:b w:val="0"/>
                <w:sz w:val="16"/>
              </w:rPr>
              <w:t>0 - 0,1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Belle (vaguelettes)</w:t>
            </w:r>
          </w:p>
        </w:tc>
        <w:tc>
          <w:tcPr>
            <w:tcW w:type="dxa" w:w="3784"/>
          </w:tcPr>
          <w:p>
            <w:pPr>
              <w:spacing w:before="20" w:after="20"/>
            </w:pPr>
            <w:r/>
            <w:r>
              <w:rPr>
                <w:rFonts w:ascii="Verdana" w:hAnsi="Verdana"/>
                <w:b w:val="0"/>
                <w:sz w:val="16"/>
              </w:rPr>
              <w:t>0,1 - 0,5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Peu agitée</w:t>
            </w:r>
          </w:p>
        </w:tc>
        <w:tc>
          <w:tcPr>
            <w:tcW w:type="dxa" w:w="3784"/>
          </w:tcPr>
          <w:p>
            <w:pPr>
              <w:spacing w:before="20" w:after="20"/>
            </w:pPr>
            <w:r/>
            <w:r>
              <w:rPr>
                <w:rFonts w:ascii="Verdana" w:hAnsi="Verdana"/>
                <w:b w:val="0"/>
                <w:sz w:val="16"/>
              </w:rPr>
              <w:t>0,5 - 1,25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Agitée</w:t>
            </w:r>
          </w:p>
        </w:tc>
        <w:tc>
          <w:tcPr>
            <w:tcW w:type="dxa" w:w="3784"/>
          </w:tcPr>
          <w:p>
            <w:pPr>
              <w:spacing w:before="20" w:after="20"/>
            </w:pPr>
            <w:r/>
            <w:r>
              <w:rPr>
                <w:rFonts w:ascii="Verdana" w:hAnsi="Verdana"/>
                <w:b w:val="0"/>
                <w:sz w:val="16"/>
              </w:rPr>
              <w:t>1,25 - 2,5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Forte</w:t>
            </w:r>
          </w:p>
        </w:tc>
        <w:tc>
          <w:tcPr>
            <w:tcW w:type="dxa" w:w="3784"/>
          </w:tcPr>
          <w:p>
            <w:pPr>
              <w:spacing w:before="20" w:after="20"/>
            </w:pPr>
            <w:r/>
            <w:r>
              <w:rPr>
                <w:rFonts w:ascii="Verdana" w:hAnsi="Verdana"/>
                <w:b w:val="0"/>
                <w:sz w:val="16"/>
              </w:rPr>
              <w:t>2,5 - 4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Très forte</w:t>
            </w:r>
          </w:p>
        </w:tc>
        <w:tc>
          <w:tcPr>
            <w:tcW w:type="dxa" w:w="3784"/>
          </w:tcPr>
          <w:p>
            <w:pPr>
              <w:spacing w:before="20" w:after="20"/>
            </w:pPr>
            <w:r/>
            <w:r>
              <w:rPr>
                <w:rFonts w:ascii="Verdana" w:hAnsi="Verdana"/>
                <w:b w:val="0"/>
                <w:sz w:val="16"/>
              </w:rPr>
              <w:t>4 - 6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Grosse</w:t>
            </w:r>
          </w:p>
        </w:tc>
        <w:tc>
          <w:tcPr>
            <w:tcW w:type="dxa" w:w="3784"/>
          </w:tcPr>
          <w:p>
            <w:pPr>
              <w:spacing w:before="20" w:after="20"/>
            </w:pPr>
            <w:r/>
            <w:r>
              <w:rPr>
                <w:rFonts w:ascii="Verdana" w:hAnsi="Verdana"/>
                <w:b w:val="0"/>
                <w:sz w:val="16"/>
              </w:rPr>
              <w:t>6 - 9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Très grosse</w:t>
            </w:r>
          </w:p>
        </w:tc>
        <w:tc>
          <w:tcPr>
            <w:tcW w:type="dxa" w:w="3784"/>
          </w:tcPr>
          <w:p>
            <w:pPr>
              <w:spacing w:before="20" w:after="20"/>
            </w:pPr>
            <w:r/>
            <w:r>
              <w:rPr>
                <w:rFonts w:ascii="Verdana" w:hAnsi="Verdana"/>
                <w:b w:val="0"/>
                <w:sz w:val="16"/>
              </w:rPr>
              <w:t>9 - 14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Énorme</w:t>
            </w:r>
          </w:p>
        </w:tc>
        <w:tc>
          <w:tcPr>
            <w:tcW w:type="dxa" w:w="3784"/>
          </w:tcPr>
          <w:p>
            <w:pPr>
              <w:spacing w:before="20" w:after="20"/>
            </w:pPr>
            <w:r/>
            <w:r>
              <w:rPr>
                <w:rFonts w:ascii="Verdana" w:hAnsi="Verdana"/>
                <w:b w:val="0"/>
                <w:sz w:val="16"/>
              </w:rPr>
              <w:t>Plus de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22 067  Type d'instrument pour la mesure du profil de la température/salinité de l'eau (Voir la table de code commune C-3)</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22 068  Types d'enregistreurs du profil de la température de l'eau (Voir la table de code commune C-4)</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22 120  Vérification automatique du niveau d'eau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de bonne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Limite du niveau maximal de l'eau (supérieur)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Limite du niveau minimal de l'eau (inférieur)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Limite de la vitesse de variation du niveau d'eau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Limite uniforme de niveau d'eau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Limite de la valeur du niveau d'eau observé moins la valeur du niveau d'eau prévu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observée par capteur de niveau d'eau primaire moins valeur du capteur de niveau d'eau de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Tolérance spécifiée de la valeur dépassée par rapport à la valeur prévue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Limites dépassées (EMQ et/ou valeurs aberrantes) du paramètre d'assurance de la qualité du niveau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Température de la mer en dehors d'une gamme prévue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Echec des multiples contrôles de la qualité (ci-dessus)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Aucune vérification automatique du niveau d'eau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22 121  Vérification manuelle du niveau d'eau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Problème éventuel de blocage ou alors données du niveau d'eau dégradées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Décalage éventuel d'une donnée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État du capteur de niveau d'eau 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Problème suspecté ou connu sur le capteur de la température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Problèmes éventuels multiples (ci-dessus)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 mauvaise - NE PAS DIFFUSER!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Aucune vérification manuelle du niveau d'eau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22 122  Vérification automatique des données météorologiques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de bonne qualité fournies par tous les capteurs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du vent situé à l'extérieur des limites autorisées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Vitesse du vent situé à l'extérieur des limites prévues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Pression barométrique située à l'extérieur des limites prévues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Température de l'air située à l'extérieur des limites prévues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multiples capteurs ont échoué dans les vérifications de contrôle de la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Aucune vérification automatique des données météorologiques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22 123  Vérification manuelle des données météorologiques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Problème suspecté ou connu du capteur 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Problème suspecté ou connu du capteur de pression barométrique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Problème suspecté ou connu du capteur de la température d'air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Etat inconnu de tous les capteurs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Problèmes suspectés ou connus avec de nombreux capteurs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Données mauvaises - NE PAS DIFFUSER!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Aucune vérification manuelle des données météorologiques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22 178  Type de lanceur de XBT/XCTD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Lanceur LM-2A de pontée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Lanceur LM-3A à main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Lanceur LM-4A passe-coque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Lanceur automatique AL-12 TSK (12 sondes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Lanceur automatique SIO XBT (6 sondes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Lanceur automatique AOML XBT V6 (6 sondes Deep Blue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Lanceur automatique AOML XBT V8.0 (8 sondes Deep Blue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Lanceur automatique AOML XBT V8.1 (8 sondes Deep Blue et Fast Deep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33-89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Lanceur automatique CSIRO Devil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Lanceur automatique MFSTEP (Méditerranée)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