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Classe 30</w:t>
      </w:r>
    </w:p>
    <w:p>
      <w:r>
        <w:rPr>
          <w:rFonts w:ascii="Verdana" w:hAnsi="Verdana"/>
          <w:i/>
          <w:sz w:val="14"/>
        </w:rPr>
        <w:t>Note 2: (voir Note 1) 1) Pour l’emploi du chiffre du code 15, voir la règle 12.1.4. 2) «Clair» et «couvert» portent les chiffres 0 et 8 respectivement.</w:t>
      </w:r>
    </w:p>
    <w:p>
      <w:r>
        <w:rPr>
          <w:rFonts w:ascii="Verdana" w:hAnsi="Verdana"/>
          <w:i/>
          <w:sz w:val="14"/>
        </w:rPr>
        <w:t>Note 5: (0 = bonne; 1 = mauvaise)</w:t>
      </w:r>
    </w:p>
    <w:p>
      <w:r>
        <w:rPr>
          <w:rFonts w:ascii="Verdana" w:hAnsi="Verdana"/>
          <w:i/>
          <w:sz w:val="14"/>
        </w:rPr>
        <w:t>Note 6: (Voir la table de code commune C-1 dans la Partie C/c.)</w:t>
      </w:r>
    </w:p>
    <w:p>
      <w:r>
        <w:rPr>
          <w:rFonts w:ascii="Verdana" w:hAnsi="Verdana"/>
          <w:i/>
          <w:sz w:val="14"/>
        </w:rPr>
        <w:t>Note 7: (Voir la table de code commune C-2 dans la Partie C/c.)</w:t>
      </w:r>
    </w:p>
    <w:p>
      <w:r>
        <w:rPr>
          <w:rFonts w:ascii="Verdana" w:hAnsi="Verdana"/>
          <w:i/>
          <w:sz w:val="14"/>
        </w:rPr>
        <w:t>Note 8: (Voir la table de code commune C-3)</w:t>
      </w:r>
    </w:p>
    <w:p>
      <w:r>
        <w:rPr>
          <w:rFonts w:ascii="Verdana" w:hAnsi="Verdana"/>
          <w:i/>
          <w:sz w:val="14"/>
        </w:rPr>
        <w:t>Note 9: (Voir la table de code commune C-4)</w:t>
      </w:r>
    </w:p>
    <w:p>
      <w:r>
        <w:rPr>
          <w:rFonts w:ascii="Verdana" w:hAnsi="Verdana"/>
          <w:i/>
          <w:sz w:val="14"/>
        </w:rPr>
        <w:t>Note 10: (Voir la table de code commune C-5 dans la Partie C/c.)</w:t>
      </w:r>
    </w:p>
    <w:p>
      <w:r>
        <w:rPr>
          <w:rFonts w:ascii="Verdana" w:hAnsi="Verdana"/>
          <w:i/>
          <w:sz w:val="14"/>
        </w:rPr>
        <w:t>Note 11: (Voir la table de code commune C-7 dans la Partie C/c.)</w:t>
      </w:r>
    </w:p>
    <w:p>
      <w:r>
        <w:rPr>
          <w:rFonts w:ascii="Verdana" w:hAnsi="Verdana"/>
          <w:i/>
          <w:sz w:val="14"/>
        </w:rPr>
        <w:t>Note 12: (Voir la table de code commune C-8 dans la Partie C/c.)</w:t>
      </w:r>
    </w:p>
    <w:p>
      <w:r>
        <w:rPr>
          <w:rFonts w:ascii="Verdana" w:hAnsi="Verdana"/>
          <w:i/>
          <w:sz w:val="14"/>
        </w:rPr>
        <w:t>Note 13: (See Common Code table C-14 Part C/c.)</w:t>
      </w:r>
    </w:p>
    <w:p>
      <w:r>
        <w:rPr>
          <w:rFonts w:ascii="Verdana" w:hAnsi="Verdana"/>
          <w:i/>
          <w:sz w:val="14"/>
        </w:rPr>
        <w:t>Note 14: (A definir par les centres proprement dits - Voir la table de code commune C-12 dans la Partie C/c.)</w:t>
      </w:r>
    </w:p>
    <w:p>
      <w:r>
        <w:rPr>
          <w:rFonts w:ascii="Verdana" w:hAnsi="Verdana"/>
          <w:i/>
          <w:sz w:val="14"/>
        </w:rPr>
        <w:t>Note 15: (A etablir)</w:t>
      </w:r>
    </w:p>
    <w:p>
      <w:r>
        <w:rPr>
          <w:rFonts w:ascii="Verdana" w:hAnsi="Verdana"/>
          <w:i/>
          <w:sz w:val="14"/>
        </w:rPr>
        <w:t>Note 16: Une séquence d’au moins deux paires de coordonnées de position, telles que latitude et longitude, définit une ligne ou un polygone. Les points sont reliés dans l’ordre indiqué dans le message. Toute zone décrite se situera à gauche de la ligne dessinée dans le sens indiqué. Cette définition s’applique à des polygones simples, non intersectants et sans trou.</w:t>
      </w:r>
    </w:p>
    <w:p>
      <w:r>
        <w:rPr>
          <w:rFonts w:ascii="Verdana" w:hAnsi="Verdana"/>
          <w:i/>
          <w:sz w:val="14"/>
        </w:rPr>
        <w:t>Note 17: Si tous les bits sont mis à 0, cela signifie que l’étalonnage est correct.</w:t>
      </w:r>
    </w:p>
    <w:p>
      <w:r>
        <w:rPr>
          <w:rFonts w:ascii="Verdana" w:hAnsi="Verdana"/>
          <w:i/>
          <w:sz w:val="14"/>
        </w:rPr>
        <w:t>Note 18: Toutes les statistiques de premier ordre sont exprimees dans les unites definies par les descripteurs de donnees d'origine.</w:t>
      </w:r>
    </w:p>
    <w:p>
      <w:r>
        <w:rPr>
          <w:rFonts w:ascii="Verdana" w:hAnsi="Verdana"/>
          <w:i/>
          <w:sz w:val="14"/>
        </w:rPr>
        <w:t>Note 19: 1) La signification du champ associé correspond, au début, à la qualité des données observées. 2) Le chiffre du code 21 peut être utilisé dans des messages corrigés où les valeurs substituées/corrigées sont déterminées. 3) D’autres applications peuvent être prévues.</w:t>
      </w:r>
    </w:p>
    <w:p>
      <w:r>
        <w:rPr>
          <w:rFonts w:ascii="Verdana" w:hAnsi="Verdana"/>
          <w:i/>
          <w:sz w:val="14"/>
        </w:rPr>
        <w:t>Note 21: En commençant par la position du premier bit (bit de plus fort poids), si le bit est mis à 1, le canal est utilisé. Si le bit est mis à zéro, le canal n’est pas utilisé.</w:t>
      </w:r>
    </w:p>
    <w:p>
      <w:r>
        <w:rPr>
          <w:rFonts w:ascii="Verdana" w:hAnsi="Verdana"/>
          <w:i/>
          <w:sz w:val="14"/>
        </w:rPr>
        <w:t>Note 22: L'expression 'mesure ciel couvert' indique que les valeurs de sondage sont obtenues uniquement a partir de donnees HIRS stratospheriques, de donnees MSU et de donnees SSU. Le ciel etant couvert, on n'a pas utilise de donnees HIRS tropospheriques.</w:t>
      </w:r>
    </w:p>
    <w:p>
      <w:r>
        <w:rPr>
          <w:rFonts w:ascii="Verdana" w:hAnsi="Verdana"/>
          <w:i/>
          <w:sz w:val="14"/>
        </w:rPr>
        <w:t>Note 23: HIRS* signifie: canaux HIRS 1 (669 cm–1) 2 (679 cm–1) 3 (690 cm–1) 4 (2358 cm–1)</w:t>
      </w:r>
    </w:p>
    <w:p>
      <w:r>
        <w:rPr>
          <w:rFonts w:ascii="Verdana" w:hAnsi="Verdana"/>
          <w:i/>
          <w:sz w:val="14"/>
        </w:rPr>
        <w:t>Note 24: Bits 1 a 4: INDICATIF DE DEFAUT DE L'HEURE. Lorsque tous les bits sont mis a 0, cela signifie que l'heure de balayage correspond a l'heure prevue.</w:t>
      </w:r>
    </w:p>
    <w:p>
      <w:r>
        <w:rPr>
          <w:rFonts w:ascii="Verdana" w:hAnsi="Verdana"/>
          <w:i/>
          <w:sz w:val="14"/>
        </w:rPr>
        <w:t>Note 25: Bits 11 a 17: INDICATIF DE DEFAUT DE LOCALISATION GEOGRAPHIQUE. Lorsque tous les bits sont mis a 0, cela signifie que la localisation geographique est normale.</w:t>
      </w:r>
    </w:p>
    <w:p>
      <w:r>
        <w:rPr>
          <w:rFonts w:ascii="Verdana" w:hAnsi="Verdana"/>
          <w:i/>
          <w:sz w:val="14"/>
        </w:rPr>
        <w:t>Note 27: Bits 5 a 10: INDICATIF DE DEFAUT D'ETALONNAGE. Lorsque tous les bits sont mis a 0, cela signifie que l'etalonnage est normal. Lorsque l'un ou l'autre des bits 5, 7 et 10 est mis a 1, cela signifie que des coefficients secondaires d'etalonnage ont ete utilises.</w:t>
      </w:r>
    </w:p>
    <w:p>
      <w:r>
        <w:rPr>
          <w:rFonts w:ascii="Verdana" w:hAnsi="Verdana"/>
          <w:i/>
          <w:sz w:val="14"/>
        </w:rPr>
        <w:t>Note 32: 1) Chiffres du code 1 à 9:  durée et heure de la mesure du courant (méthode vectorielle ou méthode Doppler d’établissement du profil du courant). 2) Chiffres du code 11 à 19:  période de la mesure du courant (méthode de la dérive). 3) H = heure d’observation.</w:t>
      </w:r>
    </w:p>
    <w:p>
      <w:r>
        <w:rPr>
          <w:rFonts w:ascii="Verdana" w:hAnsi="Verdana"/>
          <w:i/>
          <w:sz w:val="14"/>
        </w:rPr>
        <w:t>Note 33: 1) Chiffres du code 1 à 9:  durée et heure de la mesure du courant (méthode vectorielle ou méthode Doppler d’établissement du profil du courant). 2) Chiffres du code 11 à 19:  période de la mesure du courant (méthode de la dérive). 3) H = heure d’observation.</w:t>
      </w:r>
    </w:p>
    <w:p>
      <w:r>
        <w:rPr>
          <w:rFonts w:ascii="Verdana" w:hAnsi="Verdana"/>
          <w:i/>
          <w:sz w:val="14"/>
        </w:rPr>
        <w:t>Note 34: 1) Entre les chiffres du code 100–199, la présente table de code comprend des termes à plusieurs niveaux afin de servir aux stations simples et aux stations automatiques devenant de plus en plus complexes. 2) Les termes génériques se rapportant au temps (par exemple brouillard, bruine) sont destinés à être utilisés dans des stations automatiques pouvant déterminer les types de temps sans pouvoir fournir d'autres informations.  Les termes génériques figurent tous dans la table de code en lettres majuscules. 3) Les chiffres du code pour les catégories de précipitations (chiffres du code 140 à 148) sont disposés par ordre de complexité croissante.  Par exemple, une station très simple qui ne peut déceler que la présence ou l'absence de précipitations utilise le chiffre du code 140 (précipitations).  Au niveau suivant, une station automatique pouvant déceler le volume, mais pas le type, utilise le chiffre du code 141 ou 142.  Une station automatique qui peut déceler le type général (liquide, solide, se congelant) et le volume général utilise les chiffres du code 143 à 148.  Une station automatique qui peut signaler les types réels de précipitations (par exemple bruine ou pluie), mais non leur volume, utilise le nombre entier de la dizaine correspondante (par exemple 150 pour la catégorie bruine; 160 pour la catégorie pluie).</w:t>
      </w:r>
    </w:p>
    <w:p>
      <w:r>
        <w:rPr>
          <w:rFonts w:ascii="Verdana" w:hAnsi="Verdana"/>
          <w:i/>
          <w:sz w:val="14"/>
        </w:rPr>
        <w:t>Note 35: Le descripteur 0 25 009 est caduc; le remplacer par le descripteur 0 25 029.</w:t>
      </w:r>
    </w:p>
    <w:p>
      <w:r>
        <w:rPr>
          <w:rFonts w:ascii="Verdana" w:hAnsi="Verdana"/>
          <w:i/>
          <w:sz w:val="14"/>
        </w:rPr>
        <w:t>Note 36: Les statistiques sur les differences sont des valeurs differentielles ayant des dimensions similaires a celles des valeurs observees correspondantes en ce qui concerne les unites, mais dont les limites sont centrees sur le zero.</w:t>
      </w:r>
    </w:p>
    <w:p>
      <w:r>
        <w:rPr>
          <w:rFonts w:ascii="Verdana" w:hAnsi="Verdana"/>
          <w:i/>
          <w:sz w:val="14"/>
        </w:rPr>
        <w:t>Note 39: 1) L’EPSG est un jeu de données sur les systèmes de coordonnées et les transformations qu’ils subissent, constitué et tenu à jour à l’origine par l’ European Petroleum Survey Group l’Association internationale des producteurs de pétrole et de gaz qui s’en occupe, par le biais du sous-comité à la géodésie relevant de son Comité de géomatique. 2) Lorsque le chiffre du code 4 est utilisé pour préciser un système de coordonnées de référence, la donnée ellipsoïdale est alors un ellipsoïde de révolution aplati, dont le grand axe s’oriente dans le même plan que le plan équatorial et le petit axe coupe le méridien d’origine près du pôle d’origine. Le Nord correspond à la direction de l’équateur au pôle d’origine. L’Est correspond au sens inverse des aiguilles d’une montre à partir du méridien d’origine vu depuis le pôle Nord. Dans ce cas, il faut préciser le demi-grand axe et le demi-petit axe (en se servant par exemple des descripteurs 0 01 152 et 0 01 153).</w:t>
      </w:r>
    </w:p>
    <w:p>
      <w:r>
        <w:rPr>
          <w:rFonts w:ascii="Verdana" w:hAnsi="Verdana"/>
          <w:i/>
          <w:sz w:val="14"/>
        </w:rPr>
        <w:t>Note 42: 1) La signification du champ associé correspond, au début, à la qualité des données observées. 2) Le chiffre du code 21 peut être utilisé dans des messages corrigés où les valeurs substituées/corrigées sont déterminées. 3) D’autres applications peuvent être prévues.</w:t>
      </w:r>
    </w:p>
    <w:p>
      <w:r>
        <w:rPr>
          <w:rFonts w:ascii="Verdana" w:hAnsi="Verdana"/>
          <w:i/>
          <w:sz w:val="14"/>
        </w:rPr>
        <w:t>Note 43: 1) Entre les chiffres du code 100–199, la présente table de code comprend des termes à plusieurs niveaux afin de servir aux stations simples et aux stations automatiques devenant de plus en plus complexes. 2) Les termes génériques se rapportant au temps (par exemple brouillard, bruine) sont destinés à être utilisés dans des stations automatiques pouvant déterminer les types de temps sans pouvoir fournir d'autres informations.  Les termes génériques figurent tous dans la table de code en lettres majuscules. 3) Les chiffres du code pour les catégories de précipitations (chiffres du code 140 à 148) sont disposés par ordre de complexité croissante.  Par exemple, une station très simple qui ne peut déceler que la présence ou l'absence de précipitations utilise le chiffre du code 140 (précipitations).  Au niveau suivant, une station automatique pouvant déceler le volume, mais pas le type, utilise le chiffre du code 141 ou 142.  Une station automatique qui peut déceler le type général (liquide, solide, se congelant) et le volume général utilise les chiffres du code 143 à 148.  Une station automatique qui peut signaler les types réels de précipitations (par exemple bruine ou pluie), mais non leur volume, utilise le nombre entier de la dizaine correspondante (par exemple 150 pour la catégorie bruine; 160 pour la catégorie pluie).</w:t>
      </w:r>
    </w:p>
    <w:p>
      <w:r>
        <w:rPr>
          <w:rFonts w:ascii="Verdana" w:hAnsi="Verdana"/>
          <w:i/>
          <w:sz w:val="14"/>
        </w:rPr>
        <w:t>Note 45: 1) Chiffres du code 1 à 9:  durée et heure de la mesure du courant (méthode vectorielle ou méthode Doppler d’établissement du profil du courant). 2) Chiffres du code 11 à 19:  période de la mesure du courant (méthode de la dérive). 3) H = heure d’observation.</w:t>
      </w:r>
    </w:p>
    <w:p>
      <w:r>
        <w:rPr>
          <w:rFonts w:ascii="Verdana" w:hAnsi="Verdana"/>
          <w:i/>
          <w:sz w:val="14"/>
        </w:rPr>
        <w:t>Note 49: Si le bit est mis à 1, l’indication est valable.</w:t>
      </w:r>
    </w:p>
    <w:p>
      <w:r>
        <w:rPr>
          <w:rFonts w:ascii="Verdana" w:hAnsi="Verdana"/>
          <w:i/>
          <w:sz w:val="14"/>
        </w:rPr>
        <w:t>Note 50: 1) Les définitions données pour les chiffres du code 0 à 2 et 4 s’appliquent à une superficie représentative de sol nu, et les chiffres 3, 5 à 9 et 10 à 19 à une zone dégagée représentative. 2) En toutes circonstances, on choisit le chiffre du code le plus élevé qui puisse s’appliquer. 3) Dans la table de code ci-dessus, toute référence à de la glace comprend aussi les précipitations solides autres que la neige.</w:t>
      </w:r>
    </w:p>
    <w:p>
      <w:r>
        <w:rPr>
          <w:rFonts w:ascii="Verdana" w:hAnsi="Verdana"/>
          <w:i/>
          <w:sz w:val="14"/>
        </w:rPr>
        <w:t>Note 52: 1) Dans les messages d'observation en provenance de stations météorologiques automatiques, on utilise le chiffre du code 2 si la tendance est à la hausse, 7 si la tendance est à la baisse, et 4 si la pression atmosphérique est la même que trois heures auparavant. 2) Dans les messages provenant de stations tropicales qui communiquent des données concernant les changements de pression sur 24 heures, le chiffre du code 2 indique que la tendance est positive, le chiffre 7 qu'elle est négative, et le chiffre 4 que la pression est la même que 24 heures auparavant.</w:t>
      </w:r>
    </w:p>
    <w:p>
      <w:r>
        <w:rPr>
          <w:rFonts w:ascii="Verdana" w:hAnsi="Verdana"/>
          <w:i/>
          <w:sz w:val="14"/>
        </w:rPr>
        <w:t>Note 53: 1) Dans les messages d'observation en provenance de stations météorologiques automatiques, on utilise le chiffre du code 2 si la tendance est à la hausse, 7 si la tendance est à la baisse, et 4 si la pression atmosphérique est la même que trois heures auparavant. 2) Dans les messages provenant de stations tropicales qui communiquent des données concernant les changements de pression sur 24 heures, le chiffre du code 2 indique que la tendance est positive, le chiffre 7 qu'elle est négative, et le chiffre 4 que la pression est la même que 24 heures auparavant.</w:t>
      </w:r>
    </w:p>
    <w:p>
      <w:r>
        <w:rPr>
          <w:rFonts w:ascii="Verdana" w:hAnsi="Verdana"/>
          <w:i/>
          <w:sz w:val="14"/>
        </w:rPr>
        <w:t>Note 54: 1) Les définitions données pour les chiffres du code 0 à 2 et 4 s’appliquent à une superficie représentative de sol nu, et les chiffres 3, 5 à 9 et 10 à 19 à une zone dégagée représentative. 2) En toutes circonstances, on choisit le chiffre du code le plus élevé qui puisse s’appliquer. 3) Dans la table de code ci-dessus, toute référence à de la glace comprend aussi les précipitations solides autres que la neige.</w:t>
      </w:r>
    </w:p>
    <w:p>
      <w:r>
        <w:rPr>
          <w:rFonts w:ascii="Verdana" w:hAnsi="Verdana"/>
          <w:i/>
          <w:sz w:val="14"/>
        </w:rPr>
        <w:t>Note 57: Le mélange de précipitation est indiqué en mettant à 1 les bits de tous les types de précipitation observés.</w:t>
      </w:r>
    </w:p>
    <w:p>
      <w:r>
        <w:rPr>
          <w:rFonts w:ascii="Verdana" w:hAnsi="Verdana"/>
          <w:i/>
          <w:sz w:val="14"/>
        </w:rPr>
        <w:t>Note 59: D’autres appellations locales utilisées pour des orages de diverses intensités sont ajoutées selon les besoins.</w:t>
      </w:r>
    </w:p>
    <w:p>
      <w:r>
        <w:rPr>
          <w:rFonts w:ascii="Verdana" w:hAnsi="Verdana"/>
          <w:i/>
          <w:sz w:val="14"/>
        </w:rPr>
        <w:t>Note 60: Aucun des chiffres du code n’exclut la possibilité, laissée à la discrétion du centre de production, d’ajouter des niveaux obtenus par interpolation.</w:t>
      </w:r>
    </w:p>
    <w:p>
      <w:r>
        <w:rPr>
          <w:rFonts w:ascii="Verdana" w:hAnsi="Verdana"/>
          <w:i/>
          <w:sz w:val="14"/>
        </w:rPr>
        <w:t>Note 63: Dans cette table d'indicateurs, 'phenomene' signifie tout phenomene, y compris les precipitations et l'obscurcissement.</w:t>
      </w:r>
    </w:p>
    <w:p>
      <w:r>
        <w:rPr>
          <w:rFonts w:ascii="Verdana" w:hAnsi="Verdana"/>
          <w:i/>
          <w:sz w:val="14"/>
        </w:rPr>
        <w:t>Note 75: 1) Les définitions données pour les chiffres du code 0 à 2 et 4 s’appliquent à une superficie représentative de sol nu, et les chiffres 3, 5 à 9 et 10 à 19 à une zone dégagée représentative. 2) En toutes circonstances, on choisit le chiffre du code le plus élevé qui puisse s’appliquer. 3) Dans la table de code ci-dessus, toute référence à de la glace comprend aussi les précipitations solides autres que la neige.</w:t>
      </w:r>
    </w:p>
    <w:p>
      <w:r>
        <w:rPr>
          <w:rFonts w:ascii="Verdana" w:hAnsi="Verdana"/>
          <w:i/>
          <w:sz w:val="14"/>
        </w:rPr>
        <w:t>Note 76: 1) Ces valeurs se réfèrent à des vagues de vent bien formées en haute mer. dée aux termes descriptifs, ces valeurs relatives à la hauteur peuvent être utilisées à titre d’indication par l’observateur lorsqu’il chiffre l’état total d’agitation de la mer résultant de divers facteurs tels que le vent, la houle, les courants, l’angle entre la houle et le vent, etc. 2) Pour chiffrer une hauteur correspondant à la limite entre deux chiffres du code, prendre le chiffre du code le moins élevé; par exemple, une hauteur de 4 m est signalée à l’aide du chiffre du code 5.</w:t>
      </w:r>
    </w:p>
    <w:p>
      <w:r>
        <w:rPr>
          <w:rFonts w:ascii="Verdana" w:hAnsi="Verdana"/>
          <w:i/>
          <w:sz w:val="14"/>
        </w:rPr>
        <w:t>Note 78: Les trois premiers chiffres representent le code ISO du pays.</w:t>
      </w:r>
    </w:p>
    <w:p>
      <w:r>
        <w:rPr>
          <w:rFonts w:ascii="Verdana" w:hAnsi="Verdana"/>
          <w:i/>
          <w:sz w:val="14"/>
        </w:rPr>
        <w:t>Note 79: La derniere colonne de la table indique le numero d’enregistrement correspondant emis par le Chemical Abstracts Service (CAS) de l’American Chemical Society.</w:t>
      </w:r>
    </w:p>
    <w:p>
      <w:r>
        <w:rPr>
          <w:rFonts w:ascii="Verdana" w:hAnsi="Verdana"/>
          <w:i/>
          <w:sz w:val="14"/>
        </w:rPr>
        <w:t>Note 80: 1) Entre les chiffres du code 100–199, la présente table de code comprend des termes à plusieurs niveaux afin de servir aux stations simples et aux stations automatiques devenant de plus en plus complexes. 2) Les termes génériques se rapportant au temps (par exemple brouillard, bruine) sont destinés à être utilisés dans des stations automatiques pouvant déterminer les types de temps sans pouvoir fournir d'autres informations.  Les termes génériques figurent tous dans la table de code en lettres majuscules. 3) Les chiffres du code pour les catégories de précipitations (chiffres du code 140 à 148) sont disposés par ordre de complexité croissante.  Par exemple, une station très simple qui ne peut déceler que la présence ou l'absence de précipitations utilise le chiffre du code 140 (précipitations).  Au niveau suivant, une station automatique pouvant déceler le volume, mais pas le type, utilise le chiffre du code 141 ou 142.  Une station automatique qui peut déceler le type général (liquide, solide, se congelant) et le volume général utilise les chiffres du code 143 à 148.  Une station automatique qui peut signaler les types réels de précipitations (par exemple bruine ou pluie), mais non leur volume, utilise le nombre entier de la dizaine correspondante (par exemple 150 pour la catégorie bruine; 160 pour la catégorie pluie).</w:t>
      </w:r>
    </w:p>
    <w:p>
      <w:r>
        <w:rPr>
          <w:rFonts w:ascii="Verdana" w:hAnsi="Verdana"/>
          <w:i/>
          <w:sz w:val="14"/>
        </w:rPr>
        <w:t>Note 81: L’échelle des valeurs nominales de l’humidité du sol en surface est comprise entre 0 et 100 %. Dans des cas extrêmes, il est possible néanmoins que la valeur extrapolée à partir de la rétrodiffusion suivant un angle d’incidence de 40 degrés soit inférieure à la valeur minimale de référence de 0 % (conditions sèches) ou supérieure à la valeur maximale de référence de 100 % (conditions humides).</w:t>
      </w:r>
    </w:p>
    <w:p>
      <w:r>
        <w:rPr>
          <w:rFonts w:ascii="Verdana" w:hAnsi="Verdana"/>
          <w:i/>
          <w:sz w:val="14"/>
        </w:rPr>
        <w:t>Note 84: 1) Ces valeurs se réfèrent à des vagues de vent bien formées en haute mer. dée aux termes descriptifs, ces valeurs relatives à la hauteur peuvent être utilisées à titre d’indication par l’observateur lorsqu’il chiffre l’état total d’agitation de la mer résultant de divers facteurs tels que le vent, la houle, les courants, l’angle entre la houle et le vent, etc. 2) Pour chiffrer une hauteur correspondant à la limite entre deux chiffres du code, prendre le chiffre du code le moins élevé; par exemple, une hauteur de 4 m est signalée à l’aide du chiffre du code 5.</w:t>
      </w:r>
    </w:p>
    <w:p>
      <w:r>
        <w:rPr>
          <w:rFonts w:ascii="Verdana" w:hAnsi="Verdana"/>
          <w:i/>
          <w:sz w:val="14"/>
        </w:rPr>
        <w:t>Note 85: Ce descripteur sera associé à des données relatives à la visibilité ou à la hauteur des nuages pour préciser si la valeur est bornée. Si la donnée transmise est la valeur vraie, le chiffre du code est 0. Toutefois, la mesure peut atteindre la limite de capacité de mesure de l’instrument. Si la valeur transmise est supérieure à la valeur vraie, le chiffre du code est 1; si la valeur transmise est inférieure à la valeur vraie, le chiffre du code est 2.</w:t>
      </w:r>
    </w:p>
    <w:p>
      <w:r>
        <w:rPr>
          <w:rFonts w:ascii="Verdana" w:hAnsi="Verdana"/>
          <w:i/>
          <w:sz w:val="14"/>
        </w:rPr>
        <w:t>Note 88: 1) L’expression «moyenne sur une certaine période» indique qu’il est établi en permanence une moyenne des valeurs sur une période donnée. 2) L’expression «moyenne d’ensemble» indique que l’on prend la moyenne d’un certain nombre de valeurs distinctes correspondant à une série de situations dans le temps. 3) Il faut préciser les périodes auxquelles correspondent les caractéristiques temporelles.</w:t>
      </w:r>
    </w:p>
    <w:p>
      <w:r>
        <w:rPr>
          <w:rFonts w:ascii="Verdana" w:hAnsi="Verdana"/>
          <w:i/>
          <w:sz w:val="14"/>
        </w:rPr>
        <w:t>Note 90: Type d'instrument et unites initiales pour la mesure du vent (en m s-1 sauf indication contraire).</w:t>
      </w:r>
    </w:p>
    <w:p>
      <w:r>
        <w:rPr>
          <w:rFonts w:ascii="Verdana" w:hAnsi="Verdana"/>
          <w:i/>
          <w:sz w:val="14"/>
        </w:rPr>
        <w:t>Note 94: Si la méthode de transmission d’origine est celle indiquée par le chiffre 1 du code, il est conseillé de faire appel à la table de conversion suivante pour obtenir une valeur correcte des données correspondant au descripteur 0 01 012: Valeur indiquée Valeur des données 0 0 1 45 2 90 3 135 4 180 5 225 6 270 7 315 8 360 9 511</w:t>
      </w:r>
    </w:p>
    <w:p>
      <w:r>
        <w:rPr>
          <w:rFonts w:ascii="Verdana" w:hAnsi="Verdana"/>
          <w:i/>
          <w:sz w:val="14"/>
        </w:rPr>
        <w:t>Note 95: Si la méthode de transmission d’origine est celle indiquée par le chiffre 1 du code, il est conseillé de faire appel à la table de conversion suivante pour obtenir une valeur correcte des données correspondant au descripteur 0 01 013: Valeur indiquée Valeur des données 0 0 1 1 2 4 3 7 4 9 5 12 6 14 7 17 8 19 9 21 / 1023</w:t>
      </w:r>
    </w:p>
    <w:p>
      <w:r>
        <w:rPr>
          <w:rFonts w:ascii="Verdana" w:hAnsi="Verdana"/>
          <w:i/>
          <w:sz w:val="14"/>
        </w:rPr>
        <w:t>Note 98: Code figures 1 - 24 are siting classifications and measurement quality classifications according to the Guide to Instruments and Methods of Observation (WMO-No. 8), Volume I, Chapter 1, Annex 1.D and Annex 1.G.</w:t>
      </w:r>
    </w:p>
    <w:p>
      <w:r>
        <w:rPr>
          <w:rFonts w:ascii="Verdana" w:hAnsi="Verdana"/>
          <w:i/>
          <w:sz w:val="14"/>
        </w:rPr>
        <w:t>Note 99: Code figures 26 - 30 are siting classifications according to the Guide to Instruments and Methods of Observation (WMO-No. 8), Volume I, Chapter 1, Annex 1.D.</w:t>
      </w:r>
    </w:p>
    <w:p>
      <w:r>
        <w:rPr>
          <w:rFonts w:ascii="Verdana" w:hAnsi="Verdana"/>
          <w:i/>
          <w:sz w:val="14"/>
        </w:rPr>
        <w:t>Note 100: Code figures 31 - 34 are measurement quality classifications according to the Guide to Instruments and Methods of Observation (WMO-No. 8), Volume I, Chapter 1, Annex 1.G.</w:t>
      </w:r>
    </w:p>
    <w:p>
      <w:r>
        <w:rPr>
          <w:rFonts w:ascii="Verdana" w:hAnsi="Verdana"/>
          <w:i/>
          <w:sz w:val="14"/>
        </w:rPr>
        <w:t>Note 101: Annex 1.G is a new annex that will be part of an updated version of WMO-No. 8 to be published in mid-2022.</w:t>
      </w:r>
    </w:p>
    <w:p>
      <w:r>
        <w:rPr>
          <w:rFonts w:ascii="Verdana" w:hAnsi="Verdana"/>
          <w:b/>
          <w:sz w:val="18"/>
        </w:rPr>
        <w:t>0 30 031  Type d'image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PPI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Composite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CAPPI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Section verticale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Données alphanumériques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Carte des échos fixes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Carte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Image test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Commentaires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Carte d'occultation au sol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Carte de hauteur du faisceau radar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11-13</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Autre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30 032  Combinaison avec d'autres données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Carte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Données satellitaires dans l'infrarouge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Données satellitaires dans le visible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Données satellitaires dans les bandes d'absorption de la vapeur d'eau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Données satellitaires multispectrales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Observations synoptiques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Paramètres prévus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Données sur les éclairs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Autres données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