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35</w:t>
      </w:r>
    </w:p>
    <w:p>
      <w:r>
        <w:rPr>
          <w:rFonts w:ascii="Verdana" w:hAnsi="Verdana"/>
          <w:i/>
          <w:sz w:val="14"/>
        </w:rPr>
        <w:t>Note 2: (voir Note 1) 1) Pour l’emploi du chiffre du code 15, voir la règle 12.1.4. 2) «Clair» et «couvert» portent les chiffres 0 et 8 respectivement.</w:t>
      </w:r>
    </w:p>
    <w:p>
      <w:r>
        <w:rPr>
          <w:rFonts w:ascii="Verdana" w:hAnsi="Verdana"/>
          <w:i/>
          <w:sz w:val="14"/>
        </w:rPr>
        <w:t>Note 5: (0 = bonne; 1 = mauvaise)</w:t>
      </w:r>
    </w:p>
    <w:p>
      <w:r>
        <w:rPr>
          <w:rFonts w:ascii="Verdana" w:hAnsi="Verdana"/>
          <w:i/>
          <w:sz w:val="14"/>
        </w:rPr>
        <w:t>Note 6: (Voir la table de code commune C-1 dans la Partie C/c.)</w:t>
      </w:r>
    </w:p>
    <w:p>
      <w:r>
        <w:rPr>
          <w:rFonts w:ascii="Verdana" w:hAnsi="Verdana"/>
          <w:i/>
          <w:sz w:val="14"/>
        </w:rPr>
        <w:t>Note 7: (Voir la table de code commune C-2 dans la Partie C/c.)</w:t>
      </w:r>
    </w:p>
    <w:p>
      <w:r>
        <w:rPr>
          <w:rFonts w:ascii="Verdana" w:hAnsi="Verdana"/>
          <w:i/>
          <w:sz w:val="14"/>
        </w:rPr>
        <w:t>Note 8: (Voir la table de code commune C-3)</w:t>
      </w:r>
    </w:p>
    <w:p>
      <w:r>
        <w:rPr>
          <w:rFonts w:ascii="Verdana" w:hAnsi="Verdana"/>
          <w:i/>
          <w:sz w:val="14"/>
        </w:rPr>
        <w:t>Note 9: (Voir la table de code commune C-4)</w:t>
      </w:r>
    </w:p>
    <w:p>
      <w:r>
        <w:rPr>
          <w:rFonts w:ascii="Verdana" w:hAnsi="Verdana"/>
          <w:i/>
          <w:sz w:val="14"/>
        </w:rPr>
        <w:t>Note 10: (Voir la table de code commune C-5 dans la Partie C/c.)</w:t>
      </w:r>
    </w:p>
    <w:p>
      <w:r>
        <w:rPr>
          <w:rFonts w:ascii="Verdana" w:hAnsi="Verdana"/>
          <w:i/>
          <w:sz w:val="14"/>
        </w:rPr>
        <w:t>Note 11: (Voir la table de code commune C-7 dans la Partie C/c.)</w:t>
      </w:r>
    </w:p>
    <w:p>
      <w:r>
        <w:rPr>
          <w:rFonts w:ascii="Verdana" w:hAnsi="Verdana"/>
          <w:i/>
          <w:sz w:val="14"/>
        </w:rPr>
        <w:t>Note 12: (Voir la table de code commune C-8 dans la Partie C/c.)</w:t>
      </w:r>
    </w:p>
    <w:p>
      <w:r>
        <w:rPr>
          <w:rFonts w:ascii="Verdana" w:hAnsi="Verdana"/>
          <w:i/>
          <w:sz w:val="14"/>
        </w:rPr>
        <w:t>Note 13: (See Common Code table C-14 Part C/c.)</w:t>
      </w:r>
    </w:p>
    <w:p>
      <w:r>
        <w:rPr>
          <w:rFonts w:ascii="Verdana" w:hAnsi="Verdana"/>
          <w:i/>
          <w:sz w:val="14"/>
        </w:rPr>
        <w:t>Note 14: (A definir par les centres proprement dits - Voir la table de code commune C-12 dans la Partie C/c.)</w:t>
      </w:r>
    </w:p>
    <w:p>
      <w:r>
        <w:rPr>
          <w:rFonts w:ascii="Verdana" w:hAnsi="Verdana"/>
          <w:i/>
          <w:sz w:val="14"/>
        </w:rPr>
        <w:t>Note 15: (A etablir)</w:t>
      </w:r>
    </w:p>
    <w:p>
      <w:r>
        <w:rPr>
          <w:rFonts w:ascii="Verdana" w:hAnsi="Verdana"/>
          <w:i/>
          <w:sz w:val="14"/>
        </w:rPr>
        <w:t>Note 16: Une séquence d’au moins deux paires de coordonnées de position, telles que latitude et longitude, définit une ligne ou un polygone. Les points sont reliés dans l’ordre indiqué dans le message. Toute zone décrite se situera à gauche de la ligne dessinée dans le sens indiqué. Cette définition s’applique à des polygones simples, non intersectants et sans trou.</w:t>
      </w:r>
    </w:p>
    <w:p>
      <w:r>
        <w:rPr>
          <w:rFonts w:ascii="Verdana" w:hAnsi="Verdana"/>
          <w:i/>
          <w:sz w:val="14"/>
        </w:rPr>
        <w:t>Note 17: Si tous les bits sont mis à 0, cela signifie que l’étalonnage est correct.</w:t>
      </w:r>
    </w:p>
    <w:p>
      <w:r>
        <w:rPr>
          <w:rFonts w:ascii="Verdana" w:hAnsi="Verdana"/>
          <w:i/>
          <w:sz w:val="14"/>
        </w:rPr>
        <w:t>Note 18: Toutes les statistiques de premier ordre sont exprimees dans les unites definies par les descripteurs de donnees d'origine.</w:t>
      </w:r>
    </w:p>
    <w:p>
      <w:r>
        <w:rPr>
          <w:rFonts w:ascii="Verdana" w:hAnsi="Verdana"/>
          <w:i/>
          <w:sz w:val="14"/>
        </w:rPr>
        <w:t>Note 19: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21: En commençant par la position du premier bit (bit de plus fort poids), si le bit est mis à 1, le canal est utilisé. Si le bit est mis à zéro, le canal n’est pas utilisé.</w:t>
      </w:r>
    </w:p>
    <w:p>
      <w:r>
        <w:rPr>
          <w:rFonts w:ascii="Verdana" w:hAnsi="Verdana"/>
          <w:i/>
          <w:sz w:val="14"/>
        </w:rPr>
        <w:t>Note 22: L'expression 'mesure ciel couvert' indique que les valeurs de sondage sont obtenues uniquement a partir de donnees HIRS stratospheriques, de donnees MSU et de donnees SSU. Le ciel etant couvert, on n'a pas utilise de donnees HIRS tropospheriques.</w:t>
      </w:r>
    </w:p>
    <w:p>
      <w:r>
        <w:rPr>
          <w:rFonts w:ascii="Verdana" w:hAnsi="Verdana"/>
          <w:i/>
          <w:sz w:val="14"/>
        </w:rPr>
        <w:t>Note 23: HIRS* signifie: canaux HIRS 1 (669 cm–1) 2 (679 cm–1) 3 (690 cm–1) 4 (2358 cm–1)</w:t>
      </w:r>
    </w:p>
    <w:p>
      <w:r>
        <w:rPr>
          <w:rFonts w:ascii="Verdana" w:hAnsi="Verdana"/>
          <w:i/>
          <w:sz w:val="14"/>
        </w:rPr>
        <w:t>Note 24: Bits 1 a 4: INDICATIF DE DEFAUT DE L'HEURE. Lorsque tous les bits sont mis a 0, cela signifie que l'heure de balayage correspond a l'heure prevue.</w:t>
      </w:r>
    </w:p>
    <w:p>
      <w:r>
        <w:rPr>
          <w:rFonts w:ascii="Verdana" w:hAnsi="Verdana"/>
          <w:i/>
          <w:sz w:val="14"/>
        </w:rPr>
        <w:t>Note 25: Bits 11 a 17: INDICATIF DE DEFAUT DE LOCALISATION GEOGRAPHIQUE. Lorsque tous les bits sont mis a 0, cela signifie que la localisation geographique est normale.</w:t>
      </w:r>
    </w:p>
    <w:p>
      <w:r>
        <w:rPr>
          <w:rFonts w:ascii="Verdana" w:hAnsi="Verdana"/>
          <w:i/>
          <w:sz w:val="14"/>
        </w:rPr>
        <w:t>Note 27: Bits 5 a 10: INDICATIF DE DEFAUT D'ETALONNAGE. Lorsque tous les bits sont mis a 0, cela signifie que l'etalonnage est normal. Lorsque l'un ou l'autre des bits 5, 7 et 10 est mis a 1, cela signifie que des coefficients secondaires d'etalonnage ont ete utilises.</w:t>
      </w:r>
    </w:p>
    <w:p>
      <w:r>
        <w:rPr>
          <w:rFonts w:ascii="Verdana" w:hAnsi="Verdana"/>
          <w:i/>
          <w:sz w:val="14"/>
        </w:rPr>
        <w:t>Note 32: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33: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34: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35: Le descripteur 0 25 009 est caduc; le remplacer par le descripteur 0 25 029.</w:t>
      </w:r>
    </w:p>
    <w:p>
      <w:r>
        <w:rPr>
          <w:rFonts w:ascii="Verdana" w:hAnsi="Verdana"/>
          <w:i/>
          <w:sz w:val="14"/>
        </w:rPr>
        <w:t>Note 36: Les statistiques sur les differences sont des valeurs differentielles ayant des dimensions similaires a celles des valeurs observees correspondantes en ce qui concerne les unites, mais dont les limites sont centrees sur le zero.</w:t>
      </w:r>
    </w:p>
    <w:p>
      <w:r>
        <w:rPr>
          <w:rFonts w:ascii="Verdana" w:hAnsi="Verdana"/>
          <w:i/>
          <w:sz w:val="14"/>
        </w:rPr>
        <w:t>Note 39: 1) L’EPSG est un jeu de données sur les systèmes de coordonnées et les transformations qu’ils subissent, constitué et tenu à jour à l’origine par l’ European Petroleum Survey Group l’Association internationale des producteurs de pétrole et de gaz qui s’en occupe, par le biais du sous-comité à la géodésie relevant de son Comité de géomatique. 2) Lorsque le chiffre du code 4 est utilisé pour préciser un système de coordonnées de référence, la donnée ellipsoïdale est alors un ellipsoïde de révolution aplati, dont le grand axe s’oriente dans le même plan que le plan équatorial et le petit axe coupe le méridien d’origine près du pôle d’origine. Le Nord correspond à la direction de l’équateur au pôle d’origine. L’Est correspond au sens inverse des aiguilles d’une montre à partir du méridien d’origine vu depuis le pôle Nord. Dans ce cas, il faut préciser le demi-grand axe et le demi-petit axe (en se servant par exemple des descripteurs 0 01 152 et 0 01 153).</w:t>
      </w:r>
    </w:p>
    <w:p>
      <w:r>
        <w:rPr>
          <w:rFonts w:ascii="Verdana" w:hAnsi="Verdana"/>
          <w:i/>
          <w:sz w:val="14"/>
        </w:rPr>
        <w:t>Note 42: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43: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45: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49: Si le bit est mis à 1, l’indication est valable.</w:t>
      </w:r>
    </w:p>
    <w:p>
      <w:r>
        <w:rPr>
          <w:rFonts w:ascii="Verdana" w:hAnsi="Verdana"/>
          <w:i/>
          <w:sz w:val="14"/>
        </w:rPr>
        <w:t>Note 50: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52: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53: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54: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57: Le mélange de précipitation est indiqué en mettant à 1 les bits de tous les types de précipitation observés.</w:t>
      </w:r>
    </w:p>
    <w:p>
      <w:r>
        <w:rPr>
          <w:rFonts w:ascii="Verdana" w:hAnsi="Verdana"/>
          <w:i/>
          <w:sz w:val="14"/>
        </w:rPr>
        <w:t>Note 59: D’autres appellations locales utilisées pour des orages de diverses intensités sont ajoutées selon les besoins.</w:t>
      </w:r>
    </w:p>
    <w:p>
      <w:r>
        <w:rPr>
          <w:rFonts w:ascii="Verdana" w:hAnsi="Verdana"/>
          <w:i/>
          <w:sz w:val="14"/>
        </w:rPr>
        <w:t>Note 60: Aucun des chiffres du code n’exclut la possibilité, laissée à la discrétion du centre de production, d’ajouter des niveaux obtenus par interpolation.</w:t>
      </w:r>
    </w:p>
    <w:p>
      <w:r>
        <w:rPr>
          <w:rFonts w:ascii="Verdana" w:hAnsi="Verdana"/>
          <w:i/>
          <w:sz w:val="14"/>
        </w:rPr>
        <w:t>Note 63: Dans cette table d'indicateurs, 'phenomene' signifie tout phenomene, y compris les precipitations et l'obscurcissement.</w:t>
      </w:r>
    </w:p>
    <w:p>
      <w:r>
        <w:rPr>
          <w:rFonts w:ascii="Verdana" w:hAnsi="Verdana"/>
          <w:i/>
          <w:sz w:val="14"/>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78: Les trois premiers chiffres representent le code ISO du pays.</w:t>
      </w:r>
    </w:p>
    <w:p>
      <w:r>
        <w:rPr>
          <w:rFonts w:ascii="Verdana" w:hAnsi="Verdana"/>
          <w:i/>
          <w:sz w:val="14"/>
        </w:rPr>
        <w:t>Note 79: La derniere colonne de la table indique le numero d’enregistrement correspondant emis par le Chemical Abstracts Service (CAS) de l’American Chemical Society.</w:t>
      </w:r>
    </w:p>
    <w:p>
      <w:r>
        <w:rPr>
          <w:rFonts w:ascii="Verdana" w:hAnsi="Verdana"/>
          <w:i/>
          <w:sz w:val="14"/>
        </w:rPr>
        <w:t>Note 80: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81: L’échelle des valeurs nominales de l’humidité du sol en surface est comprise entre 0 et 100 %. Dans des cas extrêmes, il est possible néanmoins que la valeur extrapolée à partir de la rétrodiffusion suivant un angle d’incidence de 40 degrés soit inférieure à la valeur minimale de référence de 0 % (conditions sèches) ou supérieure à la valeur maximale de référence de 100 % (conditions humides).</w:t>
      </w:r>
    </w:p>
    <w:p>
      <w:r>
        <w:rPr>
          <w:rFonts w:ascii="Verdana" w:hAnsi="Verdana"/>
          <w:i/>
          <w:sz w:val="14"/>
        </w:rPr>
        <w:t>Note 84: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85: Ce descripteur sera associé à des données relatives à la visibilité ou à la hauteur des nuages pour préciser si la valeur est bornée. Si la donnée transmise est la valeur vraie, le chiffre du code est 0. Toutefois, la mesure peut atteindre la limite de capacité de mesure de l’instrument. Si la valeur transmise est supérieure à la valeur vraie, le chiffre du code est 1; si la valeur transmise est inférieure à la valeur vraie, le chiffre du code est 2.</w:t>
      </w:r>
    </w:p>
    <w:p>
      <w:r>
        <w:rPr>
          <w:rFonts w:ascii="Verdana" w:hAnsi="Verdana"/>
          <w:i/>
          <w:sz w:val="14"/>
        </w:rPr>
        <w:t>Note 88: 1) L’expression «moyenne sur une certaine période» indique qu’il est établi en permanence une moyenne des valeurs sur une période donnée. 2) L’expression «moyenne d’ensemble» indique que l’on prend la moyenne d’un certain nombre de valeurs distinctes correspondant à une série de situations dans le temps. 3) Il faut préciser les périodes auxquelles correspondent les caractéristiques temporelles.</w:t>
      </w:r>
    </w:p>
    <w:p>
      <w:r>
        <w:rPr>
          <w:rFonts w:ascii="Verdana" w:hAnsi="Verdana"/>
          <w:i/>
          <w:sz w:val="14"/>
        </w:rPr>
        <w:t>Note 90: Type d'instrument et unites initiales pour la mesure du vent (en m s-1 sauf indication contraire).</w:t>
      </w:r>
    </w:p>
    <w:p>
      <w:r>
        <w:rPr>
          <w:rFonts w:ascii="Verdana" w:hAnsi="Verdana"/>
          <w:i/>
          <w:sz w:val="14"/>
        </w:rPr>
        <w:t>Note 94: Si la méthode de transmission d’origine est celle indiquée par le chiffre 1 du code, il est conseillé de faire appel à la table de conversion suivante pour obtenir une valeur correcte des données correspondant au descripteur 0 01 012: Valeur indiquée Valeur des données 0 0 1 45 2 90 3 135 4 180 5 225 6 270 7 315 8 360 9 511</w:t>
      </w:r>
    </w:p>
    <w:p>
      <w:r>
        <w:rPr>
          <w:rFonts w:ascii="Verdana" w:hAnsi="Verdana"/>
          <w:i/>
          <w:sz w:val="14"/>
        </w:rPr>
        <w:t>Note 95: Si la méthode de transmission d’origine est celle indiquée par le chiffre 1 du code, il est conseillé de faire appel à la table de conversion suivante pour obtenir une valeur correcte des données correspondant au descripteur 0 01 013: Valeur indiquée Valeur des données 0 0 1 1 2 4 3 7 4 9 5 12 6 14 7 17 8 19 9 21 /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p>
      <w:r>
        <w:rPr>
          <w:rFonts w:ascii="Verdana" w:hAnsi="Verdana"/>
          <w:b/>
          <w:sz w:val="18"/>
        </w:rPr>
        <w:t>0 35 000  FM et numéro de code régional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000-099</w:t>
            </w:r>
          </w:p>
        </w:tc>
        <w:tc>
          <w:tcPr>
            <w:tcW w:type="dxa" w:w="5046"/>
          </w:tcPr>
          <w:p>
            <w:pPr>
              <w:spacing w:before="20" w:after="20"/>
            </w:pPr>
            <w:r/>
            <w:r>
              <w:rPr>
                <w:rFonts w:ascii="Verdana" w:hAnsi="Verdana"/>
                <w:b w:val="0"/>
                <w:sz w:val="16"/>
              </w:rPr>
              <w:t>Codes FM internationaux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100-199</w:t>
            </w:r>
          </w:p>
        </w:tc>
        <w:tc>
          <w:tcPr>
            <w:tcW w:type="dxa" w:w="5046"/>
          </w:tcPr>
          <w:p>
            <w:pPr>
              <w:spacing w:before="20" w:after="20"/>
            </w:pPr>
            <w:r/>
            <w:r>
              <w:rPr>
                <w:rFonts w:ascii="Verdana" w:hAnsi="Verdana"/>
                <w:b w:val="0"/>
                <w:sz w:val="16"/>
              </w:rPr>
              <w:t>Codes pour la Région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200-299</w:t>
            </w:r>
          </w:p>
        </w:tc>
        <w:tc>
          <w:tcPr>
            <w:tcW w:type="dxa" w:w="5046"/>
          </w:tcPr>
          <w:p>
            <w:pPr>
              <w:spacing w:before="20" w:after="20"/>
            </w:pPr>
            <w:r/>
            <w:r>
              <w:rPr>
                <w:rFonts w:ascii="Verdana" w:hAnsi="Verdana"/>
                <w:b w:val="0"/>
                <w:sz w:val="16"/>
              </w:rPr>
              <w:t>Codes pour la Région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300-399</w:t>
            </w:r>
          </w:p>
        </w:tc>
        <w:tc>
          <w:tcPr>
            <w:tcW w:type="dxa" w:w="5046"/>
          </w:tcPr>
          <w:p>
            <w:pPr>
              <w:spacing w:before="20" w:after="20"/>
            </w:pPr>
            <w:r/>
            <w:r>
              <w:rPr>
                <w:rFonts w:ascii="Verdana" w:hAnsi="Verdana"/>
                <w:b w:val="0"/>
                <w:sz w:val="16"/>
              </w:rPr>
              <w:t>Codes pour la Région III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400-499</w:t>
            </w:r>
          </w:p>
        </w:tc>
        <w:tc>
          <w:tcPr>
            <w:tcW w:type="dxa" w:w="5046"/>
          </w:tcPr>
          <w:p>
            <w:pPr>
              <w:spacing w:before="20" w:after="20"/>
            </w:pPr>
            <w:r/>
            <w:r>
              <w:rPr>
                <w:rFonts w:ascii="Verdana" w:hAnsi="Verdana"/>
                <w:b w:val="0"/>
                <w:sz w:val="16"/>
              </w:rPr>
              <w:t>Codes pour la Région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500-599</w:t>
            </w:r>
          </w:p>
        </w:tc>
        <w:tc>
          <w:tcPr>
            <w:tcW w:type="dxa" w:w="5046"/>
          </w:tcPr>
          <w:p>
            <w:pPr>
              <w:spacing w:before="20" w:after="20"/>
            </w:pPr>
            <w:r/>
            <w:r>
              <w:rPr>
                <w:rFonts w:ascii="Verdana" w:hAnsi="Verdana"/>
                <w:b w:val="0"/>
                <w:sz w:val="16"/>
              </w:rPr>
              <w:t>Codes pour la Région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600-699</w:t>
            </w:r>
          </w:p>
        </w:tc>
        <w:tc>
          <w:tcPr>
            <w:tcW w:type="dxa" w:w="5046"/>
          </w:tcPr>
          <w:p>
            <w:pPr>
              <w:spacing w:before="20" w:after="20"/>
            </w:pPr>
            <w:r/>
            <w:r>
              <w:rPr>
                <w:rFonts w:ascii="Verdana" w:hAnsi="Verdana"/>
                <w:b w:val="0"/>
                <w:sz w:val="16"/>
              </w:rPr>
              <w:t>Codes pour la Région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700-799</w:t>
            </w:r>
          </w:p>
        </w:tc>
        <w:tc>
          <w:tcPr>
            <w:tcW w:type="dxa" w:w="5046"/>
          </w:tcPr>
          <w:p>
            <w:pPr>
              <w:spacing w:before="20" w:after="20"/>
            </w:pPr>
            <w:r/>
            <w:r>
              <w:rPr>
                <w:rFonts w:ascii="Verdana" w:hAnsi="Verdana"/>
                <w:b w:val="0"/>
                <w:sz w:val="16"/>
              </w:rPr>
              <w:t>Codes pour l'Antarctique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800-999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1000-1022</w:t>
            </w:r>
          </w:p>
        </w:tc>
        <w:tc>
          <w:tcPr>
            <w:tcW w:type="dxa" w:w="5046"/>
          </w:tcPr>
          <w:p>
            <w:pPr>
              <w:spacing w:before="20" w:after="20"/>
            </w:pPr>
            <w:r/>
            <w:r>
              <w:rPr>
                <w:rFonts w:ascii="Verdana" w:hAnsi="Verdana"/>
                <w:b w:val="0"/>
                <w:sz w:val="16"/>
              </w:rPr>
              <w:t>Inutilisés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35 001  Base de temps pour le contrôle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temps réel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 temps quasi réel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différé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35 030  Divergences dans la disponibilité des données attendues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Aucune divergence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Non-respect des pratiques et des procédures normalisées et recommandées y compris celles qui concernent le contrôle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Catalogues de bulletins météorologiques non mis à jour à temps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Annuaires d'acheminement incorrects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Manque de souplesse dans les dispositions d'acheminement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Anomalies dans l'exploitation des centres et des circuits du SMT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Perte de données ou retard dans la transmission de données sur le SMT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Acheminement des données différent de l'acheminement prévu par le plan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Fautes diverses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35 031  Qualification du contrôle des résultats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Suffisants et d'une qualité acceptable dans l'ensemble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Suffisants mais d'une qualité partiellement acceptable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Insuffisants mais d'une qualité acceptable dans l'ensemble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Insuffisants et d'une qualité inacceptable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Caractère incomplet de certains messages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Groupes suspects ou mal chiffrés ne pouvant être interprétés en toute confiance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Erreurs grossières de chiffrement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Ordre séquentiel de transmission non respecté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Message complètement embrouillé et rejeté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Anomalies identifiées et rectifiées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Anomalies identifiées mais non rectifiées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Anomalies non identifiées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Erreur de mesure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Incohérence mutuelle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Incohérence temporelle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Erreur de prévision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Erreur systématique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Amélioration du système de contrôle de la qualité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Développement des programmes de formation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20-98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99-126</w:t>
            </w:r>
          </w:p>
        </w:tc>
        <w:tc>
          <w:tcPr>
            <w:tcW w:type="dxa" w:w="5046"/>
          </w:tcPr>
          <w:p>
            <w:pPr>
              <w:spacing w:before="20" w:after="20"/>
            </w:pPr>
            <w:r/>
            <w:r>
              <w:rPr>
                <w:rFonts w:ascii="Verdana" w:hAnsi="Verdana"/>
                <w:b w:val="0"/>
                <w:sz w:val="16"/>
              </w:rPr>
              <w:t>Inutilisés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35 032  Cause des données manquantes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Groupes de données manquants en raison de l'évanouissement brusque des signaux radioélectriques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Groupes de données manquants en raison de l'interruption de service du centre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Groupes de données manquants en raison de la panne de circuits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Non-respect ou non-maintien de la densité requise du RSBR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Manque de personnel qualifié dans les stations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Manque de consommables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Panne d'instrument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Non-respect des procédures de télécommunications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Interruption de certains programmes d'observation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Inutilisés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35 033  Anomalies dans l'observation et les données collectées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Aucune anomalie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Observations non effectuées régulièrement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Observations non effectuées au bon moment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Observations effectuées mais non diffusées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Observations effectuées et transmises à des usagers incorrects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Données collectées non reçues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Données collectées transmises en retard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Données collectées non transmises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Difficultés dans la propagation HF et le choix de la fréquence correcte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Difficultés d'entretien du matériel de transmission dans les stations éloignées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Aucune disposition de secours pour acheminer les observations météorologiques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12-99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100-122</w:t>
            </w:r>
          </w:p>
        </w:tc>
        <w:tc>
          <w:tcPr>
            <w:tcW w:type="dxa" w:w="5046"/>
          </w:tcPr>
          <w:p>
            <w:pPr>
              <w:spacing w:before="20" w:after="20"/>
            </w:pPr>
            <w:r/>
            <w:r>
              <w:rPr>
                <w:rFonts w:ascii="Verdana" w:hAnsi="Verdana"/>
                <w:b w:val="0"/>
                <w:sz w:val="16"/>
              </w:rPr>
              <w:t>Inutilisés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35 034  Tendances statistiques de la disponibilité des données (pendant la(les) période(s) d'observation)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Légère amélioration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Amélioration importante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Amélioration très importante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Régulière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 diminution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Efforts nécessaires pour améliorer les observations de nuit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35 035  Raison de l'abandon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Éclatement du ballon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Chute du ballon due au givrage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Fuite ou ballon plafonnant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Signal faible ou s'affaiblissant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Panne d'accumulateur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Panne de l'équipement au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Interférence des signaux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Panne de la radiosonde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Trop de blocs de données manquants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Trop de données manquantes sur la 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Trop de données manquantes sur la 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Abandon par l'opérateur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Perte soudaine du signal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Perte du signal de poursuite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Augmentation de la 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Données non valides ou données manquantes (délais dépassés)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18-29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Autre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