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04 : Situation (dans le temps)</w:t>
      </w:r>
    </w:p>
    <w:p>
      <w:r>
        <w:rPr>
          <w:rFonts w:ascii="Verdana" w:hAnsi="Verdana"/>
          <w:i/>
          <w:sz w:val="14"/>
        </w:rPr>
        <w:t>Note 23: Une valeur de précipitation de –0,1 kg m –2 avant la mise à l’échelle (–1 après la mise à l’échelle ou en CREX) indique qu’il y a «trace» de précipitations (non mesurable, moins de 0,05 kg m –2 )</w:t>
      </w:r>
    </w:p>
    <w:p>
      <w:r>
        <w:rPr>
          <w:rFonts w:ascii="Verdana" w:hAnsi="Verdana"/>
          <w:i/>
          <w:sz w:val="14"/>
        </w:rPr>
        <w:t>Note 25: Il est possible d’annuler une signification précédemment définie en transmettant une «valeur manquante» à partir de la table de code ou de la table d’indicateurs appropriée.</w:t>
      </w:r>
    </w:p>
    <w:p>
      <w:r>
        <w:rPr>
          <w:rFonts w:ascii="Verdana" w:hAnsi="Verdana"/>
          <w:i/>
          <w:sz w:val="14"/>
        </w:rPr>
        <w:t>Note 27: Sauf indication contraire, tous les temps sont des temps universels coordonnés (UTC).</w:t>
      </w:r>
    </w:p>
    <w:p>
      <w:r>
        <w:rPr>
          <w:rFonts w:ascii="Verdana" w:hAnsi="Verdana"/>
          <w:i/>
          <w:sz w:val="14"/>
        </w:rPr>
        <w:t>Note 32: La direction ou l’azimut ne sont utilisés que par rapport à une position donnée; ils n’ont pas pour objet de définir à nouveau cette position.</w:t>
      </w:r>
    </w:p>
    <w:p>
      <w:r>
        <w:rPr>
          <w:rFonts w:ascii="Verdana" w:hAnsi="Verdana"/>
          <w:i/>
          <w:sz w:val="14"/>
        </w:rPr>
        <w:t>Note 62: La distance n’est indiquée que par rapport à une position donnée et une direction, un azimut ou une hauteur angulaire; elle n’a pas pour objet de définir à nouveau cette position.</w:t>
      </w:r>
    </w:p>
    <w:p>
      <w:r>
        <w:rPr>
          <w:rFonts w:ascii="Verdana" w:hAnsi="Verdana"/>
          <w:i/>
          <w:sz w:val="14"/>
        </w:rPr>
        <w:t>Note 63: Le rayonnement descendant est indiqué par des valeurs positives.</w:t>
      </w:r>
    </w:p>
    <w:p>
      <w:r>
        <w:rPr>
          <w:rFonts w:ascii="Verdana" w:hAnsi="Verdana"/>
          <w:i/>
          <w:sz w:val="14"/>
        </w:rPr>
        <w:t>Note 64: Les composantes w descendantes sont indiquées par des valeurs positives, pour lesquelles l’unité est le Pa s –1 .</w:t>
      </w:r>
    </w:p>
    <w:p>
      <w:r>
        <w:rPr>
          <w:rFonts w:ascii="Verdana" w:hAnsi="Verdana"/>
          <w:i/>
          <w:sz w:val="14"/>
        </w:rPr>
        <w:t>Note 66: Les incréments dans le sens est-ouest sont indiqués par des valeurs négatives.</w:t>
      </w:r>
    </w:p>
    <w:p>
      <w:r>
        <w:rPr>
          <w:rFonts w:ascii="Verdana" w:hAnsi="Verdana"/>
          <w:i/>
          <w:sz w:val="14"/>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p>
      <w:r>
        <w:rPr>
          <w:rFonts w:ascii="Verdana" w:hAnsi="Verdana"/>
          <w:i/>
          <w:sz w:val="14"/>
        </w:rPr>
        <w:t>Note 105: Les périodes ou les décalages dans le temps négatifs sont utilisés pour indiquer les périodes ou les décalages dans le temps précédant le temps généralement défini.</w:t>
      </w:r>
    </w:p>
    <w:p>
      <w:r>
        <w:rPr>
          <w:rFonts w:ascii="Verdana" w:hAnsi="Verdana"/>
          <w:i/>
          <w:sz w:val="14"/>
        </w:rPr>
        <w:t>Note 110: Les incréments dans le sens nord–sud sont indiqués par des valeurs négatives.</w:t>
      </w:r>
    </w:p>
    <w:p>
      <w:r>
        <w:rPr>
          <w:rFonts w:ascii="Verdana" w:hAnsi="Verdana"/>
          <w:i/>
          <w:sz w:val="14"/>
        </w:rPr>
        <w:t>Note 115: Le champ de données des pixels peut être modifié au moyen du descripteur 2 01 YYY.</w:t>
      </w:r>
    </w:p>
    <w:p>
      <w:r>
        <w:rPr>
          <w:rFonts w:ascii="Verdana" w:hAnsi="Verdana"/>
          <w:i/>
          <w:sz w:val="14"/>
        </w:rPr>
        <w:t>Note 121: Pour certains éléments de cette classe, une indication de la précision escomptée peut être implicite.</w:t>
      </w:r>
    </w:p>
    <w:p>
      <w:r>
        <w:rPr>
          <w:rFonts w:ascii="Verdana" w:hAnsi="Verdana"/>
          <w:i/>
          <w:sz w:val="14"/>
        </w:rPr>
        <w:t>Note 122: On attribue aux latitudes sud des valeurs négatives.</w:t>
      </w:r>
    </w:p>
    <w:p>
      <w:r>
        <w:rPr>
          <w:rFonts w:ascii="Verdana" w:hAnsi="Verdana"/>
          <w:i/>
          <w:sz w:val="14"/>
        </w:rPr>
        <w:t>Note 123: Les composantes v dans le sens sud–nord sont indiquées par des valeurs positives.</w:t>
      </w:r>
    </w:p>
    <w:p>
      <w:r>
        <w:rPr>
          <w:rFonts w:ascii="Verdana" w:hAnsi="Verdana"/>
          <w:i/>
          <w:sz w:val="14"/>
        </w:rPr>
        <w:t>Note 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145: Pour indiquer à quoi se rapportent les périodes ou les décalages dans le temps, on peut se servir du code donné pour la caractéristique temporelle dans la table 0 08 021.</w:t>
      </w:r>
    </w:p>
    <w:p>
      <w:r>
        <w:rPr>
          <w:rFonts w:ascii="Verdana" w:hAnsi="Verdana"/>
          <w:i/>
          <w:sz w:val="14"/>
        </w:rPr>
        <w:t>Note 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155: Cette classe peut aussi contenir des éléments concernant les méthodes d’observation.</w:t>
      </w:r>
    </w:p>
    <w:p>
      <w:r>
        <w:rPr>
          <w:rFonts w:ascii="Verdana" w:hAnsi="Verdana"/>
          <w:i/>
          <w:sz w:val="14"/>
        </w:rPr>
        <w:t>Note 156: La présente classe doit contenir des éléments décrivant les instruments utilisés pour obtenir les éléments météorologiques représentés.</w:t>
      </w:r>
    </w:p>
    <w:p>
      <w:r>
        <w:rPr>
          <w:rFonts w:ascii="Verdana" w:hAnsi="Verdana"/>
          <w:i/>
          <w:sz w:val="14"/>
        </w:rPr>
        <w:t>Note 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160: Le rayonnement ascendant est indiqué par des valeurs négatives.</w:t>
      </w:r>
    </w:p>
    <w:p>
      <w:r>
        <w:rPr>
          <w:rFonts w:ascii="Verdana" w:hAnsi="Verdana"/>
          <w:i/>
          <w:sz w:val="14"/>
        </w:rPr>
        <w:t>Note 161: Les composantes w ascendantes sont indiquées par des valeurs positives, pour lesquelles l’unité est le m s –1 .</w:t>
      </w:r>
    </w:p>
    <w:p>
      <w:r>
        <w:rPr>
          <w:rFonts w:ascii="Verdana" w:hAnsi="Verdana"/>
          <w:i/>
          <w:sz w:val="14"/>
        </w:rPr>
        <w:t>Note 162: Intervalles utiles utilisés ci-dessus: 10 11 Bq à 10 19 Bq pour les rejets; 10 –2 Bq à 10 7 Bq et 10 –2 mSv à 10 7 mSv pour la concentration et les doses.</w:t>
      </w:r>
    </w:p>
    <w:p>
      <w:r>
        <w:rPr>
          <w:rFonts w:ascii="Verdana" w:hAnsi="Verdana"/>
          <w:i/>
          <w:sz w:val="14"/>
        </w:rPr>
        <w:t>Note 163: Les valeurs de la latitude et de l’incrément de latitude se situent dans les limites de la plage allant de –90 degrés à +90 degrés.</w:t>
      </w:r>
    </w:p>
    <w:p>
      <w:r>
        <w:rPr>
          <w:rFonts w:ascii="Verdana" w:hAnsi="Verdana"/>
          <w:i/>
          <w:sz w:val="14"/>
        </w:rPr>
        <w:t>Note 164: Les valeurs de longitude se situent dans les limites de la plage allant de –180 degrés à +180 degrés.</w:t>
      </w:r>
    </w:p>
    <w:p>
      <w:r>
        <w:rPr>
          <w:rFonts w:ascii="Verdana" w:hAnsi="Verdana"/>
          <w:i/>
          <w:sz w:val="14"/>
        </w:rPr>
        <w:t>Note 165: Des données correspondant à des éléments verticaux et à la pression sont utilisées pour définir des valeurs de ces éléments indépendantes de l’élément ou de la variable déterminant la coordonnée verticale.</w:t>
      </w:r>
    </w:p>
    <w:p>
      <w:r>
        <w:rPr>
          <w:rFonts w:ascii="Verdana" w:hAnsi="Verdana"/>
          <w:i/>
          <w:sz w:val="14"/>
        </w:rPr>
        <w:t>Note 166: On attribue aux longitudes ouest des valeurs négatives.</w:t>
      </w:r>
    </w:p>
    <w:p>
      <w:r>
        <w:rPr>
          <w:rFonts w:ascii="Verdana" w:hAnsi="Verdana"/>
          <w:i/>
          <w:sz w:val="14"/>
        </w:rPr>
        <w:t>Note 167: Les composantes u dans le sens ouest–est sont indiquées par des valeurs positives.</w:t>
      </w:r>
    </w:p>
    <w:p>
      <w:r>
        <w:rPr>
          <w:rFonts w:ascii="Verdana" w:hAnsi="Verdana"/>
          <w:i/>
          <w:sz w:val="14"/>
        </w:rPr>
        <w:t>Note 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p>
      <w:r>
        <w:rPr>
          <w:rFonts w:ascii="Verdana" w:hAnsi="Verdana"/>
          <w:i/>
          <w:sz w:val="14"/>
        </w:rPr>
        <w:t>Note 178: Lorsque la colonne Nom de l’élément porte la mention «sur une période déterminée», on précise, à l’aide de descripteurs de la classe 04, la période considérée.</w:t>
      </w:r>
    </w:p>
    <w:p>
      <w:r>
        <w:rPr>
          <w:rFonts w:ascii="Verdana" w:hAnsi="Verdana"/>
          <w:i/>
          <w:sz w:val="14"/>
        </w:rPr>
        <w:t>Note 179: Lorsqu’on établit une somme ou une moyenne (par exemple sur une certaine période), on peut représenter le nombre total de valeurs prises en considération pour obtenir cette somme ou cette moyenne en utilisant le descripteur 0 08 022.</w:t>
      </w:r>
    </w:p>
    <w:p>
      <w:r>
        <w:rPr>
          <w:rFonts w:ascii="Verdana" w:hAnsi="Verdana"/>
          <w:i/>
          <w:sz w:val="14"/>
        </w:rPr>
        <w:t>Note 180: Normes pour la transmission des vents: Vitesse Direction Pas d’observation Manquante Manquante Calme 0 0 Observation normale &gt; 0 1° – 360° Vitesse seulement &gt; 0 Manquante Direction seulement Manquante 1° – 360° «Léger et variable» &gt; 0 0</w:t>
      </w:r>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0 04 001</w:t>
            </w:r>
          </w:p>
        </w:tc>
        <w:tc>
          <w:tcPr>
            <w:tcW w:type="dxa" w:w="1514"/>
          </w:tcPr>
          <w:p>
            <w:pPr>
              <w:spacing w:before="20" w:after="20"/>
            </w:pPr>
            <w:r/>
            <w:r>
              <w:rPr>
                <w:rFonts w:ascii="Verdana" w:hAnsi="Verdana"/>
                <w:b w:val="0"/>
                <w:sz w:val="16"/>
              </w:rPr>
              <w:t>Année</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0 04 002</w:t>
            </w:r>
          </w:p>
        </w:tc>
        <w:tc>
          <w:tcPr>
            <w:tcW w:type="dxa" w:w="1514"/>
          </w:tcPr>
          <w:p>
            <w:pPr>
              <w:spacing w:before="20" w:after="20"/>
            </w:pPr>
            <w:r/>
            <w:r>
              <w:rPr>
                <w:rFonts w:ascii="Verdana" w:hAnsi="Verdana"/>
                <w:b w:val="0"/>
                <w:sz w:val="16"/>
              </w:rPr>
              <w:t>Mois</w:t>
            </w:r>
          </w:p>
        </w:tc>
        <w:tc>
          <w:tcPr>
            <w:tcW w:type="dxa" w:w="1514"/>
          </w:tcPr>
          <w:p>
            <w:pPr>
              <w:spacing w:before="20" w:after="20"/>
            </w:pPr>
            <w:r/>
            <w:r>
              <w:rPr>
                <w:rFonts w:ascii="Verdana" w:hAnsi="Verdana"/>
                <w:sz w:val="16"/>
              </w:rPr>
              <w:t>mon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mon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0 04 003</w:t>
            </w:r>
          </w:p>
        </w:tc>
        <w:tc>
          <w:tcPr>
            <w:tcW w:type="dxa" w:w="1514"/>
          </w:tcPr>
          <w:p>
            <w:pPr>
              <w:spacing w:before="20" w:after="20"/>
            </w:pPr>
            <w:r/>
            <w:r>
              <w:rPr>
                <w:rFonts w:ascii="Verdana" w:hAnsi="Verdana"/>
                <w:b w:val="0"/>
                <w:sz w:val="16"/>
              </w:rPr>
              <w:t>Jour</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0 04 004</w:t>
            </w:r>
          </w:p>
        </w:tc>
        <w:tc>
          <w:tcPr>
            <w:tcW w:type="dxa" w:w="1514"/>
          </w:tcPr>
          <w:p>
            <w:pPr>
              <w:spacing w:before="20" w:after="20"/>
            </w:pPr>
            <w:r/>
            <w:r>
              <w:rPr>
                <w:rFonts w:ascii="Verdana" w:hAnsi="Verdana"/>
                <w:b w:val="0"/>
                <w:sz w:val="16"/>
              </w:rPr>
              <w:t>Heure</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0 04 005</w:t>
            </w:r>
          </w:p>
        </w:tc>
        <w:tc>
          <w:tcPr>
            <w:tcW w:type="dxa" w:w="1514"/>
          </w:tcPr>
          <w:p>
            <w:pPr>
              <w:spacing w:before="20" w:after="20"/>
            </w:pPr>
            <w:r/>
            <w:r>
              <w:rPr>
                <w:rFonts w:ascii="Verdana" w:hAnsi="Verdana"/>
                <w:b w:val="0"/>
                <w:sz w:val="16"/>
              </w:rPr>
              <w:t>Minute</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0 04 006</w:t>
            </w:r>
          </w:p>
        </w:tc>
        <w:tc>
          <w:tcPr>
            <w:tcW w:type="dxa" w:w="1514"/>
          </w:tcPr>
          <w:p>
            <w:pPr>
              <w:spacing w:before="20" w:after="20"/>
            </w:pPr>
            <w:r/>
            <w:r>
              <w:rPr>
                <w:rFonts w:ascii="Verdana" w:hAnsi="Verdana"/>
                <w:b w:val="0"/>
                <w:sz w:val="16"/>
              </w:rPr>
              <w:t>Seconde</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0 04 007</w:t>
            </w:r>
          </w:p>
        </w:tc>
        <w:tc>
          <w:tcPr>
            <w:tcW w:type="dxa" w:w="1514"/>
          </w:tcPr>
          <w:p>
            <w:pPr>
              <w:spacing w:before="20" w:after="20"/>
            </w:pPr>
            <w:r/>
            <w:r>
              <w:rPr>
                <w:rFonts w:ascii="Verdana" w:hAnsi="Verdana"/>
                <w:b w:val="0"/>
                <w:sz w:val="16"/>
              </w:rPr>
              <w:t>Secondes par minute (à la microseconde près)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26</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0 04 011</w:t>
            </w:r>
          </w:p>
        </w:tc>
        <w:tc>
          <w:tcPr>
            <w:tcW w:type="dxa" w:w="1514"/>
          </w:tcPr>
          <w:p>
            <w:pPr>
              <w:spacing w:before="20" w:after="20"/>
            </w:pPr>
            <w:r/>
            <w:r>
              <w:rPr>
                <w:rFonts w:ascii="Verdana" w:hAnsi="Verdana"/>
                <w:b w:val="0"/>
                <w:sz w:val="16"/>
              </w:rPr>
              <w:t>Incrément temporel</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0 04 012</w:t>
            </w:r>
          </w:p>
        </w:tc>
        <w:tc>
          <w:tcPr>
            <w:tcW w:type="dxa" w:w="1514"/>
          </w:tcPr>
          <w:p>
            <w:pPr>
              <w:spacing w:before="20" w:after="20"/>
            </w:pPr>
            <w:r/>
            <w:r>
              <w:rPr>
                <w:rFonts w:ascii="Verdana" w:hAnsi="Verdana"/>
                <w:b w:val="0"/>
                <w:sz w:val="16"/>
              </w:rPr>
              <w:t>Incrément temporel</w:t>
            </w:r>
          </w:p>
        </w:tc>
        <w:tc>
          <w:tcPr>
            <w:tcW w:type="dxa" w:w="1514"/>
          </w:tcPr>
          <w:p>
            <w:pPr>
              <w:spacing w:before="20" w:after="20"/>
            </w:pPr>
            <w:r/>
            <w:r>
              <w:rPr>
                <w:rFonts w:ascii="Verdana" w:hAnsi="Verdana"/>
                <w:sz w:val="16"/>
              </w:rPr>
              <w:t>mon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mon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0 04 013</w:t>
            </w:r>
          </w:p>
        </w:tc>
        <w:tc>
          <w:tcPr>
            <w:tcW w:type="dxa" w:w="1514"/>
          </w:tcPr>
          <w:p>
            <w:pPr>
              <w:spacing w:before="20" w:after="20"/>
            </w:pPr>
            <w:r/>
            <w:r>
              <w:rPr>
                <w:rFonts w:ascii="Verdana" w:hAnsi="Verdana"/>
                <w:b w:val="0"/>
                <w:sz w:val="16"/>
              </w:rPr>
              <w:t>Incrément temporel</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0 04 014</w:t>
            </w:r>
          </w:p>
        </w:tc>
        <w:tc>
          <w:tcPr>
            <w:tcW w:type="dxa" w:w="1514"/>
          </w:tcPr>
          <w:p>
            <w:pPr>
              <w:spacing w:before="20" w:after="20"/>
            </w:pPr>
            <w:r/>
            <w:r>
              <w:rPr>
                <w:rFonts w:ascii="Verdana" w:hAnsi="Verdana"/>
                <w:b w:val="0"/>
                <w:sz w:val="16"/>
              </w:rPr>
              <w:t>Incrément temporel</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0 04 015</w:t>
            </w:r>
          </w:p>
        </w:tc>
        <w:tc>
          <w:tcPr>
            <w:tcW w:type="dxa" w:w="1514"/>
          </w:tcPr>
          <w:p>
            <w:pPr>
              <w:spacing w:before="20" w:after="20"/>
            </w:pPr>
            <w:r/>
            <w:r>
              <w:rPr>
                <w:rFonts w:ascii="Verdana" w:hAnsi="Verdana"/>
                <w:b w:val="0"/>
                <w:sz w:val="16"/>
              </w:rPr>
              <w:t>Incrément temporel</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0 04 016</w:t>
            </w:r>
          </w:p>
        </w:tc>
        <w:tc>
          <w:tcPr>
            <w:tcW w:type="dxa" w:w="1514"/>
          </w:tcPr>
          <w:p>
            <w:pPr>
              <w:spacing w:before="20" w:after="20"/>
            </w:pPr>
            <w:r/>
            <w:r>
              <w:rPr>
                <w:rFonts w:ascii="Verdana" w:hAnsi="Verdana"/>
                <w:b w:val="0"/>
                <w:sz w:val="16"/>
              </w:rPr>
              <w:t>Incrément temporel</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0 04 017</w:t>
            </w:r>
          </w:p>
        </w:tc>
        <w:tc>
          <w:tcPr>
            <w:tcW w:type="dxa" w:w="1514"/>
          </w:tcPr>
          <w:p>
            <w:pPr>
              <w:spacing w:before="20" w:after="20"/>
            </w:pPr>
            <w:r/>
            <w:r>
              <w:rPr>
                <w:rFonts w:ascii="Verdana" w:hAnsi="Verdana"/>
                <w:b w:val="0"/>
                <w:sz w:val="16"/>
              </w:rPr>
              <w:t>Période de référence pour les données relatives à des valeurs accumulées ou extrêmes</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-1440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0 04 021</w:t>
            </w:r>
          </w:p>
        </w:tc>
        <w:tc>
          <w:tcPr>
            <w:tcW w:type="dxa" w:w="1514"/>
          </w:tcPr>
          <w:p>
            <w:pPr>
              <w:spacing w:before="20" w:after="20"/>
            </w:pPr>
            <w:r/>
            <w:r>
              <w:rPr>
                <w:rFonts w:ascii="Verdana" w:hAnsi="Verdana"/>
                <w:b w:val="0"/>
                <w:sz w:val="16"/>
              </w:rPr>
              <w:t>Période ou décalage dans le temps</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a</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0 04 022</w:t>
            </w:r>
          </w:p>
        </w:tc>
        <w:tc>
          <w:tcPr>
            <w:tcW w:type="dxa" w:w="1514"/>
          </w:tcPr>
          <w:p>
            <w:pPr>
              <w:spacing w:before="20" w:after="20"/>
            </w:pPr>
            <w:r/>
            <w:r>
              <w:rPr>
                <w:rFonts w:ascii="Verdana" w:hAnsi="Verdana"/>
                <w:b w:val="0"/>
                <w:sz w:val="16"/>
              </w:rPr>
              <w:t>Période ou décalage dans le temps</w:t>
            </w:r>
          </w:p>
        </w:tc>
        <w:tc>
          <w:tcPr>
            <w:tcW w:type="dxa" w:w="1514"/>
          </w:tcPr>
          <w:p>
            <w:pPr>
              <w:spacing w:before="20" w:after="20"/>
            </w:pPr>
            <w:r/>
            <w:r>
              <w:rPr>
                <w:rFonts w:ascii="Verdana" w:hAnsi="Verdana"/>
                <w:sz w:val="16"/>
              </w:rPr>
              <w:t>mon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mon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0 04 023</w:t>
            </w:r>
          </w:p>
        </w:tc>
        <w:tc>
          <w:tcPr>
            <w:tcW w:type="dxa" w:w="1514"/>
          </w:tcPr>
          <w:p>
            <w:pPr>
              <w:spacing w:before="20" w:after="20"/>
            </w:pPr>
            <w:r/>
            <w:r>
              <w:rPr>
                <w:rFonts w:ascii="Verdana" w:hAnsi="Verdana"/>
                <w:b w:val="0"/>
                <w:sz w:val="16"/>
              </w:rPr>
              <w:t>Période ou décalage dans le temps</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-1024</w:t>
            </w:r>
          </w:p>
        </w:tc>
        <w:tc>
          <w:tcPr>
            <w:tcW w:type="dxa" w:w="1514"/>
          </w:tcPr>
          <w:p>
            <w:pPr>
              <w:spacing w:before="20" w:after="20"/>
            </w:pPr>
            <w:r/>
            <w:r>
              <w:rPr>
                <w:rFonts w:ascii="Verdana" w:hAnsi="Verdana"/>
                <w:b w:val="0"/>
                <w:sz w:val="16"/>
              </w:rPr>
              <w:t>11</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0 04 024</w:t>
            </w:r>
          </w:p>
        </w:tc>
        <w:tc>
          <w:tcPr>
            <w:tcW w:type="dxa" w:w="1514"/>
          </w:tcPr>
          <w:p>
            <w:pPr>
              <w:spacing w:before="20" w:after="20"/>
            </w:pPr>
            <w:r/>
            <w:r>
              <w:rPr>
                <w:rFonts w:ascii="Verdana" w:hAnsi="Verdana"/>
                <w:b w:val="0"/>
                <w:sz w:val="16"/>
              </w:rPr>
              <w:t>Période ou décalage dans le temps</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0 04 025</w:t>
            </w:r>
          </w:p>
        </w:tc>
        <w:tc>
          <w:tcPr>
            <w:tcW w:type="dxa" w:w="1514"/>
          </w:tcPr>
          <w:p>
            <w:pPr>
              <w:spacing w:before="20" w:after="20"/>
            </w:pPr>
            <w:r/>
            <w:r>
              <w:rPr>
                <w:rFonts w:ascii="Verdana" w:hAnsi="Verdana"/>
                <w:b w:val="0"/>
                <w:sz w:val="16"/>
              </w:rPr>
              <w:t>Période ou décalage dans le temps</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-2048</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0 04 026</w:t>
            </w:r>
          </w:p>
        </w:tc>
        <w:tc>
          <w:tcPr>
            <w:tcW w:type="dxa" w:w="1514"/>
          </w:tcPr>
          <w:p>
            <w:pPr>
              <w:spacing w:before="20" w:after="20"/>
            </w:pPr>
            <w:r/>
            <w:r>
              <w:rPr>
                <w:rFonts w:ascii="Verdana" w:hAnsi="Verdana"/>
                <w:b w:val="0"/>
                <w:sz w:val="16"/>
              </w:rPr>
              <w:t>Période ou décalage dans le temps</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-4096</w:t>
            </w:r>
          </w:p>
        </w:tc>
        <w:tc>
          <w:tcPr>
            <w:tcW w:type="dxa" w:w="1514"/>
          </w:tcPr>
          <w:p>
            <w:pPr>
              <w:spacing w:before="20" w:after="20"/>
            </w:pPr>
            <w:r/>
            <w:r>
              <w:rPr>
                <w:rFonts w:ascii="Verdana" w:hAnsi="Verdana"/>
                <w:b w:val="0"/>
                <w:sz w:val="16"/>
              </w:rPr>
              <w:t>13</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0 04 031</w:t>
            </w:r>
          </w:p>
        </w:tc>
        <w:tc>
          <w:tcPr>
            <w:tcW w:type="dxa" w:w="1514"/>
          </w:tcPr>
          <w:p>
            <w:pPr>
              <w:spacing w:before="20" w:after="20"/>
            </w:pPr>
            <w:r/>
            <w:r>
              <w:rPr>
                <w:rFonts w:ascii="Verdana" w:hAnsi="Verdana"/>
                <w:b w:val="0"/>
                <w:sz w:val="16"/>
              </w:rPr>
              <w:t>Période à laquelle se rapporte la valeur suivante</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0 04 032</w:t>
            </w:r>
          </w:p>
        </w:tc>
        <w:tc>
          <w:tcPr>
            <w:tcW w:type="dxa" w:w="1514"/>
          </w:tcPr>
          <w:p>
            <w:pPr>
              <w:spacing w:before="20" w:after="20"/>
            </w:pPr>
            <w:r/>
            <w:r>
              <w:rPr>
                <w:rFonts w:ascii="Verdana" w:hAnsi="Verdana"/>
                <w:b w:val="0"/>
                <w:sz w:val="16"/>
              </w:rPr>
              <w:t>Période à laquelle se rapporte la valeur suivante</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0 04 041</w:t>
            </w:r>
          </w:p>
        </w:tc>
        <w:tc>
          <w:tcPr>
            <w:tcW w:type="dxa" w:w="1514"/>
          </w:tcPr>
          <w:p>
            <w:pPr>
              <w:spacing w:before="20" w:after="20"/>
            </w:pPr>
            <w:r/>
            <w:r>
              <w:rPr>
                <w:rFonts w:ascii="Verdana" w:hAnsi="Verdana"/>
                <w:b w:val="0"/>
                <w:sz w:val="16"/>
              </w:rPr>
              <w:t>Décalage dans le temps UTC-LMT</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-1440</w:t>
            </w:r>
          </w:p>
        </w:tc>
        <w:tc>
          <w:tcPr>
            <w:tcW w:type="dxa" w:w="1514"/>
          </w:tcPr>
          <w:p>
            <w:pPr>
              <w:spacing w:before="20" w:after="20"/>
            </w:pPr>
            <w:r/>
            <w:r>
              <w:rPr>
                <w:rFonts w:ascii="Verdana" w:hAnsi="Verdana"/>
                <w:b w:val="0"/>
                <w:sz w:val="16"/>
              </w:rPr>
              <w:t>12</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b w:val="0"/>
                <w:sz w:val="16"/>
              </w:rPr>
              <w:t>Note 48: Le descripteur 0 04 041, remplacé par la combinaison des descripteurs 0 08 025 et 0 26 003, ne doit pas être utilisé pour le codage de cet élément.</w:t>
            </w:r>
          </w:p>
        </w:tc>
      </w:tr>
      <w:tr>
        <w:trPr>
          <w:cantSplit/>
        </w:trPr>
        <w:tc>
          <w:tcPr>
            <w:tcW w:type="dxa" w:w="1514"/>
          </w:tcPr>
          <w:p>
            <w:pPr>
              <w:spacing w:before="20" w:after="20"/>
            </w:pPr>
            <w:r/>
            <w:r>
              <w:rPr>
                <w:rFonts w:ascii="Verdana" w:hAnsi="Verdana"/>
                <w:b w:val="0"/>
                <w:sz w:val="16"/>
              </w:rPr>
              <w:t>0 04 043</w:t>
            </w:r>
          </w:p>
        </w:tc>
        <w:tc>
          <w:tcPr>
            <w:tcW w:type="dxa" w:w="1514"/>
          </w:tcPr>
          <w:p>
            <w:pPr>
              <w:spacing w:before="20" w:after="20"/>
            </w:pPr>
            <w:r/>
            <w:r>
              <w:rPr>
                <w:rFonts w:ascii="Verdana" w:hAnsi="Verdana"/>
                <w:b w:val="0"/>
                <w:sz w:val="16"/>
              </w:rPr>
              <w:t>Jour de l'année</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0 04 051</w:t>
            </w:r>
          </w:p>
        </w:tc>
        <w:tc>
          <w:tcPr>
            <w:tcW w:type="dxa" w:w="1514"/>
          </w:tcPr>
          <w:p>
            <w:pPr>
              <w:spacing w:before="20" w:after="20"/>
            </w:pPr>
            <w:r/>
            <w:r>
              <w:rPr>
                <w:rFonts w:ascii="Verdana" w:hAnsi="Verdana"/>
                <w:b w:val="0"/>
                <w:sz w:val="16"/>
              </w:rPr>
              <w:t>Heure principale à laquelle la température maximale est relevée quotidiennement</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0 04 052</w:t>
            </w:r>
          </w:p>
        </w:tc>
        <w:tc>
          <w:tcPr>
            <w:tcW w:type="dxa" w:w="1514"/>
          </w:tcPr>
          <w:p>
            <w:pPr>
              <w:spacing w:before="20" w:after="20"/>
            </w:pPr>
            <w:r/>
            <w:r>
              <w:rPr>
                <w:rFonts w:ascii="Verdana" w:hAnsi="Verdana"/>
                <w:b w:val="0"/>
                <w:sz w:val="16"/>
              </w:rPr>
              <w:t>Heure principale à laquelle la température minimale est relevée quotidiennement</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0 04 053</w:t>
            </w:r>
          </w:p>
        </w:tc>
        <w:tc>
          <w:tcPr>
            <w:tcW w:type="dxa" w:w="1514"/>
          </w:tcPr>
          <w:p>
            <w:pPr>
              <w:spacing w:before="20" w:after="20"/>
            </w:pPr>
            <w:r/>
            <w:r>
              <w:rPr>
                <w:rFonts w:ascii="Verdana" w:hAnsi="Verdana"/>
                <w:b w:val="0"/>
                <w:sz w:val="16"/>
              </w:rPr>
              <w:t>Nombre de jours avec précipitations égales ou supérieures à 1 mm</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Numérique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0 04 059</w:t>
            </w:r>
          </w:p>
        </w:tc>
        <w:tc>
          <w:tcPr>
            <w:tcW w:type="dxa" w:w="1514"/>
          </w:tcPr>
          <w:p>
            <w:pPr>
              <w:spacing w:before="20" w:after="20"/>
            </w:pPr>
            <w:r/>
            <w:r>
              <w:rPr>
                <w:rFonts w:ascii="Verdana" w:hAnsi="Verdana"/>
                <w:b w:val="0"/>
                <w:sz w:val="16"/>
              </w:rPr>
              <w:t>Heures des observations servant à calculer les valeurs moyennes transmises</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0 04 065</w:t>
            </w:r>
          </w:p>
        </w:tc>
        <w:tc>
          <w:tcPr>
            <w:tcW w:type="dxa" w:w="1514"/>
          </w:tcPr>
          <w:p>
            <w:pPr>
              <w:spacing w:before="20" w:after="20"/>
            </w:pPr>
            <w:r/>
            <w:r>
              <w:rPr>
                <w:rFonts w:ascii="Verdana" w:hAnsi="Verdana"/>
                <w:b w:val="0"/>
                <w:sz w:val="16"/>
              </w:rPr>
              <w:t>Incrément de courte durée</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0 04 066</w:t>
            </w:r>
          </w:p>
        </w:tc>
        <w:tc>
          <w:tcPr>
            <w:tcW w:type="dxa" w:w="1514"/>
          </w:tcPr>
          <w:p>
            <w:pPr>
              <w:spacing w:before="20" w:after="20"/>
            </w:pPr>
            <w:r/>
            <w:r>
              <w:rPr>
                <w:rFonts w:ascii="Verdana" w:hAnsi="Verdana"/>
                <w:b w:val="0"/>
                <w:sz w:val="16"/>
              </w:rPr>
              <w:t>Incrément temporel de courte durée</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0 04 073</w:t>
            </w:r>
          </w:p>
        </w:tc>
        <w:tc>
          <w:tcPr>
            <w:tcW w:type="dxa" w:w="1514"/>
          </w:tcPr>
          <w:p>
            <w:pPr>
              <w:spacing w:before="20" w:after="20"/>
            </w:pPr>
            <w:r/>
            <w:r>
              <w:rPr>
                <w:rFonts w:ascii="Verdana" w:hAnsi="Verdana"/>
                <w:b w:val="0"/>
                <w:sz w:val="16"/>
              </w:rPr>
              <w:t>Période ou décalage dans le temps de courte durée</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d</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0 04 074</w:t>
            </w:r>
          </w:p>
        </w:tc>
        <w:tc>
          <w:tcPr>
            <w:tcW w:type="dxa" w:w="1514"/>
          </w:tcPr>
          <w:p>
            <w:pPr>
              <w:spacing w:before="20" w:after="20"/>
            </w:pPr>
            <w:r/>
            <w:r>
              <w:rPr>
                <w:rFonts w:ascii="Verdana" w:hAnsi="Verdana"/>
                <w:b w:val="0"/>
                <w:sz w:val="16"/>
              </w:rPr>
              <w:t>Période ou décalage dans le temps de courte durée</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h</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0 04 075</w:t>
            </w:r>
          </w:p>
        </w:tc>
        <w:tc>
          <w:tcPr>
            <w:tcW w:type="dxa" w:w="1514"/>
          </w:tcPr>
          <w:p>
            <w:pPr>
              <w:spacing w:before="20" w:after="20"/>
            </w:pPr>
            <w:r/>
            <w:r>
              <w:rPr>
                <w:rFonts w:ascii="Verdana" w:hAnsi="Verdana"/>
                <w:b w:val="0"/>
                <w:sz w:val="16"/>
              </w:rPr>
              <w:t>Période ou décalage dans le temps de courte durée</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-128</w:t>
            </w:r>
          </w:p>
        </w:tc>
        <w:tc>
          <w:tcPr>
            <w:tcW w:type="dxa" w:w="1514"/>
          </w:tcPr>
          <w:p>
            <w:pPr>
              <w:spacing w:before="20" w:after="20"/>
            </w:pPr>
            <w:r/>
            <w:r>
              <w:rPr>
                <w:rFonts w:ascii="Verdana" w:hAnsi="Verdana"/>
                <w:b w:val="0"/>
                <w:sz w:val="16"/>
              </w:rPr>
              <w:t>8</w:t>
            </w:r>
          </w:p>
        </w:tc>
        <w:tc>
          <w:tcPr>
            <w:tcW w:type="dxa" w:w="1514"/>
          </w:tcPr>
          <w:p>
            <w:pPr>
              <w:spacing w:before="20" w:after="20"/>
            </w:pPr>
            <w:r/>
            <w:r>
              <w:rPr>
                <w:rFonts w:ascii="Verdana" w:hAnsi="Verdana"/>
                <w:sz w:val="16"/>
              </w:rPr>
              <w:t>min</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0 04 080</w:t>
            </w:r>
          </w:p>
        </w:tc>
        <w:tc>
          <w:tcPr>
            <w:tcW w:type="dxa" w:w="1514"/>
          </w:tcPr>
          <w:p>
            <w:pPr>
              <w:spacing w:before="20" w:after="20"/>
            </w:pPr>
            <w:r/>
            <w:r>
              <w:rPr>
                <w:rFonts w:ascii="Verdana" w:hAnsi="Verdana"/>
                <w:b w:val="0"/>
                <w:sz w:val="16"/>
              </w:rPr>
              <w:t>Période à laquelle correspond la valeur moyenne qui suit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0 04 086</w:t>
            </w:r>
          </w:p>
        </w:tc>
        <w:tc>
          <w:tcPr>
            <w:tcW w:type="dxa" w:w="1514"/>
          </w:tcPr>
          <w:p>
            <w:pPr>
              <w:spacing w:before="20" w:after="20"/>
            </w:pPr>
            <w:r/>
            <w:r>
              <w:rPr>
                <w:rFonts w:ascii="Verdana" w:hAnsi="Verdana"/>
                <w:b w:val="0"/>
                <w:sz w:val="16"/>
              </w:rPr>
              <w:t>Période ou décalage dans le temps de longue durée</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-8192</w:t>
            </w:r>
          </w:p>
        </w:tc>
        <w:tc>
          <w:tcPr>
            <w:tcW w:type="dxa" w:w="1514"/>
          </w:tcPr>
          <w:p>
            <w:pPr>
              <w:spacing w:before="20" w:after="20"/>
            </w:pPr>
            <w:r/>
            <w:r>
              <w:rPr>
                <w:rFonts w:ascii="Verdana" w:hAnsi="Verdana"/>
                <w:b w:val="0"/>
                <w:sz w:val="16"/>
              </w:rPr>
              <w:t>15</w:t>
            </w:r>
          </w:p>
        </w:tc>
        <w:tc>
          <w:tcPr>
            <w:tcW w:type="dxa" w:w="1514"/>
          </w:tcPr>
          <w:p>
            <w:pPr>
              <w:spacing w:before="20" w:after="20"/>
            </w:pPr>
            <w:r/>
            <w:r>
              <w:rPr>
                <w:rFonts w:ascii="Verdana" w:hAnsi="Verdana"/>
                <w:sz w:val="16"/>
              </w:rPr>
              <w:t>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bl>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