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14 : Rayonnement et luminance énergétique</w:t>
      </w:r>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0 14 001</w:t>
            </w:r>
          </w:p>
        </w:tc>
        <w:tc>
          <w:tcPr>
            <w:tcW w:type="dxa" w:w="1514"/>
          </w:tcPr>
          <w:p>
            <w:pPr>
              <w:spacing w:before="20" w:after="20"/>
            </w:pPr>
            <w:r/>
            <w:r>
              <w:rPr>
                <w:rFonts w:ascii="Verdana" w:hAnsi="Verdana"/>
                <w:b w:val="0"/>
                <w:sz w:val="16"/>
              </w:rPr>
              <w:t>Rayonnement de grande longueur d'onde, intégré sur 24 heures</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-65536</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0 14 002</w:t>
            </w:r>
          </w:p>
        </w:tc>
        <w:tc>
          <w:tcPr>
            <w:tcW w:type="dxa" w:w="1514"/>
          </w:tcPr>
          <w:p>
            <w:pPr>
              <w:spacing w:before="20" w:after="20"/>
            </w:pPr>
            <w:r/>
            <w:r>
              <w:rPr>
                <w:rFonts w:ascii="Verdana" w:hAnsi="Verdana"/>
                <w:b w:val="0"/>
                <w:sz w:val="16"/>
              </w:rPr>
              <w:t>Rayonnement de grande longueur d'onde, intégré sur une période déterminée</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-65536</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0 14 003</w:t>
            </w:r>
          </w:p>
        </w:tc>
        <w:tc>
          <w:tcPr>
            <w:tcW w:type="dxa" w:w="1514"/>
          </w:tcPr>
          <w:p>
            <w:pPr>
              <w:spacing w:before="20" w:after="20"/>
            </w:pPr>
            <w:r/>
            <w:r>
              <w:rPr>
                <w:rFonts w:ascii="Verdana" w:hAnsi="Verdana"/>
                <w:b w:val="0"/>
                <w:sz w:val="16"/>
              </w:rPr>
              <w:t>Rayonnement de courte longueur d'onde, intégré sur 24 heures</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-65536</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0 14 004</w:t>
            </w:r>
          </w:p>
        </w:tc>
        <w:tc>
          <w:tcPr>
            <w:tcW w:type="dxa" w:w="1514"/>
          </w:tcPr>
          <w:p>
            <w:pPr>
              <w:spacing w:before="20" w:after="20"/>
            </w:pPr>
            <w:r/>
            <w:r>
              <w:rPr>
                <w:rFonts w:ascii="Verdana" w:hAnsi="Verdana"/>
                <w:b w:val="0"/>
                <w:sz w:val="16"/>
              </w:rPr>
              <w:t>Rayonnement de courte longueur d'onde, intégré sur une période déterminée</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-65536</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0 14 011</w:t>
            </w:r>
          </w:p>
        </w:tc>
        <w:tc>
          <w:tcPr>
            <w:tcW w:type="dxa" w:w="1514"/>
          </w:tcPr>
          <w:p>
            <w:pPr>
              <w:spacing w:before="20" w:after="20"/>
            </w:pPr>
            <w:r/>
            <w:r>
              <w:rPr>
                <w:rFonts w:ascii="Verdana" w:hAnsi="Verdana"/>
                <w:b w:val="0"/>
                <w:sz w:val="16"/>
              </w:rPr>
              <w:t>Bilan du rayonnement de grande longueur d'onde, intégré sur 24 heures</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-65536</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0 14 012</w:t>
            </w:r>
          </w:p>
        </w:tc>
        <w:tc>
          <w:tcPr>
            <w:tcW w:type="dxa" w:w="1514"/>
          </w:tcPr>
          <w:p>
            <w:pPr>
              <w:spacing w:before="20" w:after="20"/>
            </w:pPr>
            <w:r/>
            <w:r>
              <w:rPr>
                <w:rFonts w:ascii="Verdana" w:hAnsi="Verdana"/>
                <w:b w:val="0"/>
                <w:sz w:val="16"/>
              </w:rPr>
              <w:t>Bilan du rayonnement de grande longueur d'onde, intégré sur une période déterminée</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-65536</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0 14 013</w:t>
            </w:r>
          </w:p>
        </w:tc>
        <w:tc>
          <w:tcPr>
            <w:tcW w:type="dxa" w:w="1514"/>
          </w:tcPr>
          <w:p>
            <w:pPr>
              <w:spacing w:before="20" w:after="20"/>
            </w:pPr>
            <w:r/>
            <w:r>
              <w:rPr>
                <w:rFonts w:ascii="Verdana" w:hAnsi="Verdana"/>
                <w:b w:val="0"/>
                <w:sz w:val="16"/>
              </w:rPr>
              <w:t>Bilan du rayonnement de courte longueur d'onde, intégré sur 24 heures</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-65536</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0 14 014</w:t>
            </w:r>
          </w:p>
        </w:tc>
        <w:tc>
          <w:tcPr>
            <w:tcW w:type="dxa" w:w="1514"/>
          </w:tcPr>
          <w:p>
            <w:pPr>
              <w:spacing w:before="20" w:after="20"/>
            </w:pPr>
            <w:r/>
            <w:r>
              <w:rPr>
                <w:rFonts w:ascii="Verdana" w:hAnsi="Verdana"/>
                <w:b w:val="0"/>
                <w:sz w:val="16"/>
              </w:rPr>
              <w:t>Bilan du rayonnement de courte longueur d'onde, intégré sur une période déterminée</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-65536</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0 14 015</w:t>
            </w:r>
          </w:p>
        </w:tc>
        <w:tc>
          <w:tcPr>
            <w:tcW w:type="dxa" w:w="1514"/>
          </w:tcPr>
          <w:p>
            <w:pPr>
              <w:spacing w:before="20" w:after="20"/>
            </w:pPr>
            <w:r/>
            <w:r>
              <w:rPr>
                <w:rFonts w:ascii="Verdana" w:hAnsi="Verdana"/>
                <w:b w:val="0"/>
                <w:sz w:val="16"/>
              </w:rPr>
              <w:t>Bilan du rayonnement, intégré sur 24 heures</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-16384</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0 14 016</w:t>
            </w:r>
          </w:p>
        </w:tc>
        <w:tc>
          <w:tcPr>
            <w:tcW w:type="dxa" w:w="1514"/>
          </w:tcPr>
          <w:p>
            <w:pPr>
              <w:spacing w:before="20" w:after="20"/>
            </w:pPr>
            <w:r/>
            <w:r>
              <w:rPr>
                <w:rFonts w:ascii="Verdana" w:hAnsi="Verdana"/>
                <w:b w:val="0"/>
                <w:sz w:val="16"/>
              </w:rPr>
              <w:t>Bilan du rayonnement, intégré sur une période déterminée</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-16384</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0 14 017</w:t>
            </w:r>
          </w:p>
        </w:tc>
        <w:tc>
          <w:tcPr>
            <w:tcW w:type="dxa" w:w="1514"/>
          </w:tcPr>
          <w:p>
            <w:pPr>
              <w:spacing w:before="20" w:after="20"/>
            </w:pPr>
            <w:r/>
            <w:r>
              <w:rPr>
                <w:rFonts w:ascii="Verdana" w:hAnsi="Verdana"/>
                <w:b w:val="0"/>
                <w:sz w:val="16"/>
              </w:rPr>
              <w:t>Rayonnement instantané de grande longueur d'onde</w:t>
            </w:r>
          </w:p>
        </w:tc>
        <w:tc>
          <w:tcPr>
            <w:tcW w:type="dxa" w:w="1514"/>
          </w:tcPr>
          <w:p>
            <w:pPr>
              <w:spacing w:before="20" w:after="20"/>
            </w:pPr>
            <w:r/>
            <w:r>
              <w:rPr>
                <w:rFonts w:ascii="Verdana" w:hAnsi="Verdana"/>
                <w:sz w:val="16"/>
              </w:rPr>
              <w:t>W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-512</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W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0 14 018</w:t>
            </w:r>
          </w:p>
        </w:tc>
        <w:tc>
          <w:tcPr>
            <w:tcW w:type="dxa" w:w="1514"/>
          </w:tcPr>
          <w:p>
            <w:pPr>
              <w:spacing w:before="20" w:after="20"/>
            </w:pPr>
            <w:r/>
            <w:r>
              <w:rPr>
                <w:rFonts w:ascii="Verdana" w:hAnsi="Verdana"/>
                <w:b w:val="0"/>
                <w:sz w:val="16"/>
              </w:rPr>
              <w:t>Rayonnement instantané de courte longueur d'onde</w:t>
            </w:r>
          </w:p>
        </w:tc>
        <w:tc>
          <w:tcPr>
            <w:tcW w:type="dxa" w:w="1514"/>
          </w:tcPr>
          <w:p>
            <w:pPr>
              <w:spacing w:before="20" w:after="20"/>
            </w:pPr>
            <w:r/>
            <w:r>
              <w:rPr>
                <w:rFonts w:ascii="Verdana" w:hAnsi="Verdana"/>
                <w:sz w:val="16"/>
              </w:rPr>
              <w:t>W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-2048</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W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0 14 019</w:t>
            </w:r>
          </w:p>
        </w:tc>
        <w:tc>
          <w:tcPr>
            <w:tcW w:type="dxa" w:w="1514"/>
          </w:tcPr>
          <w:p>
            <w:pPr>
              <w:spacing w:before="20" w:after="20"/>
            </w:pPr>
            <w:r/>
            <w:r>
              <w:rPr>
                <w:rFonts w:ascii="Verdana" w:hAnsi="Verdana"/>
                <w:b w:val="0"/>
                <w:sz w:val="16"/>
              </w:rPr>
              <w:t>Albédo de la surface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0 14 020</w:t>
            </w:r>
          </w:p>
        </w:tc>
        <w:tc>
          <w:tcPr>
            <w:tcW w:type="dxa" w:w="1514"/>
          </w:tcPr>
          <w:p>
            <w:pPr>
              <w:spacing w:before="20" w:after="20"/>
            </w:pPr>
            <w:r/>
            <w:r>
              <w:rPr>
                <w:rFonts w:ascii="Verdana" w:hAnsi="Verdana"/>
                <w:b w:val="0"/>
                <w:sz w:val="16"/>
              </w:rPr>
              <w:t>Rayonnement solaire global, intégré sur 24 heures</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0 14 021</w:t>
            </w:r>
          </w:p>
        </w:tc>
        <w:tc>
          <w:tcPr>
            <w:tcW w:type="dxa" w:w="1514"/>
          </w:tcPr>
          <w:p>
            <w:pPr>
              <w:spacing w:before="20" w:after="20"/>
            </w:pPr>
            <w:r/>
            <w:r>
              <w:rPr>
                <w:rFonts w:ascii="Verdana" w:hAnsi="Verdana"/>
                <w:b w:val="0"/>
                <w:sz w:val="16"/>
              </w:rPr>
              <w:t>Rayonnement solaire global, intégré sur une période déterminée</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0 14 022</w:t>
            </w:r>
          </w:p>
        </w:tc>
        <w:tc>
          <w:tcPr>
            <w:tcW w:type="dxa" w:w="1514"/>
          </w:tcPr>
          <w:p>
            <w:pPr>
              <w:spacing w:before="20" w:after="20"/>
            </w:pPr>
            <w:r/>
            <w:r>
              <w:rPr>
                <w:rFonts w:ascii="Verdana" w:hAnsi="Verdana"/>
                <w:b w:val="0"/>
                <w:sz w:val="16"/>
              </w:rPr>
              <w:t>Rayonnement solaire diffus, intégré sur 24 heures</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0 14 023</w:t>
            </w:r>
          </w:p>
        </w:tc>
        <w:tc>
          <w:tcPr>
            <w:tcW w:type="dxa" w:w="1514"/>
          </w:tcPr>
          <w:p>
            <w:pPr>
              <w:spacing w:before="20" w:after="20"/>
            </w:pPr>
            <w:r/>
            <w:r>
              <w:rPr>
                <w:rFonts w:ascii="Verdana" w:hAnsi="Verdana"/>
                <w:b w:val="0"/>
                <w:sz w:val="16"/>
              </w:rPr>
              <w:t>Rayonnement solaire diffus, intégré sur une période déterminée</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0 14 024</w:t>
            </w:r>
          </w:p>
        </w:tc>
        <w:tc>
          <w:tcPr>
            <w:tcW w:type="dxa" w:w="1514"/>
          </w:tcPr>
          <w:p>
            <w:pPr>
              <w:spacing w:before="20" w:after="20"/>
            </w:pPr>
            <w:r/>
            <w:r>
              <w:rPr>
                <w:rFonts w:ascii="Verdana" w:hAnsi="Verdana"/>
                <w:b w:val="0"/>
                <w:sz w:val="16"/>
              </w:rPr>
              <w:t>Rayonnement solaire direct, intégré sur 24 heures</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0 14 025</w:t>
            </w:r>
          </w:p>
        </w:tc>
        <w:tc>
          <w:tcPr>
            <w:tcW w:type="dxa" w:w="1514"/>
          </w:tcPr>
          <w:p>
            <w:pPr>
              <w:spacing w:before="20" w:after="20"/>
            </w:pPr>
            <w:r/>
            <w:r>
              <w:rPr>
                <w:rFonts w:ascii="Verdana" w:hAnsi="Verdana"/>
                <w:b w:val="0"/>
                <w:sz w:val="16"/>
              </w:rPr>
              <w:t>Rayonnement solaire direct, intégré sur une période déterminée</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0 14 026</w:t>
            </w:r>
          </w:p>
        </w:tc>
        <w:tc>
          <w:tcPr>
            <w:tcW w:type="dxa" w:w="1514"/>
          </w:tcPr>
          <w:p>
            <w:pPr>
              <w:spacing w:before="20" w:after="20"/>
            </w:pPr>
            <w:r/>
            <w:r>
              <w:rPr>
                <w:rFonts w:ascii="Verdana" w:hAnsi="Verdana"/>
                <w:b w:val="0"/>
                <w:sz w:val="16"/>
              </w:rPr>
              <w:t>Albédo au sommet des nuages</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0 14 027</w:t>
            </w:r>
          </w:p>
        </w:tc>
        <w:tc>
          <w:tcPr>
            <w:tcW w:type="dxa" w:w="1514"/>
          </w:tcPr>
          <w:p>
            <w:pPr>
              <w:spacing w:before="20" w:after="20"/>
            </w:pPr>
            <w:r/>
            <w:r>
              <w:rPr>
                <w:rFonts w:ascii="Verdana" w:hAnsi="Verdana"/>
                <w:b w:val="0"/>
                <w:sz w:val="16"/>
              </w:rPr>
              <w:t>Albédo</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0 14 028</w:t>
            </w:r>
          </w:p>
        </w:tc>
        <w:tc>
          <w:tcPr>
            <w:tcW w:type="dxa" w:w="1514"/>
          </w:tcPr>
          <w:p>
            <w:pPr>
              <w:spacing w:before="20" w:after="20"/>
            </w:pPr>
            <w:r/>
            <w:r>
              <w:rPr>
                <w:rFonts w:ascii="Verdana" w:hAnsi="Verdana"/>
                <w:b w:val="0"/>
                <w:sz w:val="16"/>
              </w:rPr>
              <w:t>Rayonnement solaire global (précision élevée), intégré sur une période déterminée</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0 14 029</w:t>
            </w:r>
          </w:p>
        </w:tc>
        <w:tc>
          <w:tcPr>
            <w:tcW w:type="dxa" w:w="1514"/>
          </w:tcPr>
          <w:p>
            <w:pPr>
              <w:spacing w:before="20" w:after="20"/>
            </w:pPr>
            <w:r/>
            <w:r>
              <w:rPr>
                <w:rFonts w:ascii="Verdana" w:hAnsi="Verdana"/>
                <w:b w:val="0"/>
                <w:sz w:val="16"/>
              </w:rPr>
              <w:t>Rayonnement solaire diffus (précision élevée), intégré sur une période déterminée</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0 14 030</w:t>
            </w:r>
          </w:p>
        </w:tc>
        <w:tc>
          <w:tcPr>
            <w:tcW w:type="dxa" w:w="1514"/>
          </w:tcPr>
          <w:p>
            <w:pPr>
              <w:spacing w:before="20" w:after="20"/>
            </w:pPr>
            <w:r/>
            <w:r>
              <w:rPr>
                <w:rFonts w:ascii="Verdana" w:hAnsi="Verdana"/>
                <w:b w:val="0"/>
                <w:sz w:val="16"/>
              </w:rPr>
              <w:t>Rayonnement solaire direct (précision élevée), intégré sur une période déterminée</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0 14 031</w:t>
            </w:r>
          </w:p>
        </w:tc>
        <w:tc>
          <w:tcPr>
            <w:tcW w:type="dxa" w:w="1514"/>
          </w:tcPr>
          <w:p>
            <w:pPr>
              <w:spacing w:before="20" w:after="20"/>
            </w:pPr>
            <w:r/>
            <w:r>
              <w:rPr>
                <w:rFonts w:ascii="Verdana" w:hAnsi="Verdana"/>
                <w:b w:val="0"/>
                <w:sz w:val="16"/>
              </w:rPr>
              <w:t>Insolation totale</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0 14 032</w:t>
            </w:r>
          </w:p>
        </w:tc>
        <w:tc>
          <w:tcPr>
            <w:tcW w:type="dxa" w:w="1514"/>
          </w:tcPr>
          <w:p>
            <w:pPr>
              <w:spacing w:before="20" w:after="20"/>
            </w:pPr>
            <w:r/>
            <w:r>
              <w:rPr>
                <w:rFonts w:ascii="Verdana" w:hAnsi="Verdana"/>
                <w:b w:val="0"/>
                <w:sz w:val="16"/>
              </w:rPr>
              <w:t>Insolation totale</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0 14 033</w:t>
            </w:r>
          </w:p>
        </w:tc>
        <w:tc>
          <w:tcPr>
            <w:tcW w:type="dxa" w:w="1514"/>
          </w:tcPr>
          <w:p>
            <w:pPr>
              <w:spacing w:before="20" w:after="20"/>
            </w:pPr>
            <w:r/>
            <w:r>
              <w:rPr>
                <w:rFonts w:ascii="Verdana" w:hAnsi="Verdana"/>
                <w:b w:val="0"/>
                <w:sz w:val="16"/>
              </w:rPr>
              <w:t>Insolation totale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0 14 034</w:t>
            </w:r>
          </w:p>
        </w:tc>
        <w:tc>
          <w:tcPr>
            <w:tcW w:type="dxa" w:w="1514"/>
          </w:tcPr>
          <w:p>
            <w:pPr>
              <w:spacing w:before="20" w:after="20"/>
            </w:pPr>
            <w:r/>
            <w:r>
              <w:rPr>
                <w:rFonts w:ascii="Verdana" w:hAnsi="Verdana"/>
                <w:b w:val="0"/>
                <w:sz w:val="16"/>
              </w:rPr>
              <w:t>Insolation sur une période déterminée</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0 14 035</w:t>
            </w:r>
          </w:p>
        </w:tc>
        <w:tc>
          <w:tcPr>
            <w:tcW w:type="dxa" w:w="1514"/>
          </w:tcPr>
          <w:p>
            <w:pPr>
              <w:spacing w:before="20" w:after="20"/>
            </w:pPr>
            <w:r/>
            <w:r>
              <w:rPr>
                <w:rFonts w:ascii="Verdana" w:hAnsi="Verdana"/>
                <w:b w:val="0"/>
                <w:sz w:val="16"/>
              </w:rPr>
              <w:t>Flux de rayonnement solaire</w:t>
            </w:r>
          </w:p>
        </w:tc>
        <w:tc>
          <w:tcPr>
            <w:tcW w:type="dxa" w:w="1514"/>
          </w:tcPr>
          <w:p>
            <w:pPr>
              <w:spacing w:before="20" w:after="20"/>
            </w:pPr>
            <w:r/>
            <w:r>
              <w:rPr>
                <w:rFonts w:ascii="Verdana" w:hAnsi="Verdana"/>
                <w:sz w:val="16"/>
              </w:rPr>
              <w:t>W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W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0 14 042</w:t>
            </w:r>
          </w:p>
        </w:tc>
        <w:tc>
          <w:tcPr>
            <w:tcW w:type="dxa" w:w="1514"/>
          </w:tcPr>
          <w:p>
            <w:pPr>
              <w:spacing w:before="20" w:after="20"/>
            </w:pPr>
            <w:r/>
            <w:r>
              <w:rPr>
                <w:rFonts w:ascii="Verdana" w:hAnsi="Verdana"/>
                <w:b w:val="0"/>
                <w:sz w:val="16"/>
              </w:rPr>
              <w:t>Facteur de réflexion bidirectionnelle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0 14 043</w:t>
            </w:r>
          </w:p>
        </w:tc>
        <w:tc>
          <w:tcPr>
            <w:tcW w:type="dxa" w:w="1514"/>
          </w:tcPr>
          <w:p>
            <w:pPr>
              <w:spacing w:before="20" w:after="20"/>
            </w:pPr>
            <w:r/>
            <w:r>
              <w:rPr>
                <w:rFonts w:ascii="Verdana" w:hAnsi="Verdana"/>
                <w:b w:val="0"/>
                <w:sz w:val="16"/>
              </w:rPr>
              <w:t>Luminance énergétique dans le canal</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um</w:t>
            </w:r>
            <w:r>
              <w:rPr>
                <w:rFonts w:ascii="Verdana" w:hAnsi="Verdana"/>
                <w:sz w:val="16"/>
                <w:vertAlign w:val="superscript"/>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23</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um</w:t>
            </w:r>
            <w:r>
              <w:rPr>
                <w:rFonts w:ascii="Verdana" w:hAnsi="Verdana"/>
                <w:sz w:val="16"/>
                <w:vertAlign w:val="superscript"/>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Note 35: Le décalage dans le temps de longue durée 0 04 086 est établi par rapport à l’heure du lâcher 3 01 013 (en secondes).</w:t>
            </w:r>
          </w:p>
        </w:tc>
      </w:tr>
      <w:tr>
        <w:trPr>
          <w:cantSplit/>
        </w:trPr>
        <w:tc>
          <w:tcPr>
            <w:tcW w:type="dxa" w:w="1514"/>
          </w:tcPr>
          <w:p>
            <w:pPr>
              <w:spacing w:before="20" w:after="20"/>
            </w:pPr>
            <w:r/>
            <w:r>
              <w:rPr>
                <w:rFonts w:ascii="Verdana" w:hAnsi="Verdana"/>
                <w:b w:val="0"/>
                <w:sz w:val="16"/>
              </w:rPr>
              <w:t>0 14 044</w:t>
            </w:r>
          </w:p>
        </w:tc>
        <w:tc>
          <w:tcPr>
            <w:tcW w:type="dxa" w:w="1514"/>
          </w:tcPr>
          <w:p>
            <w:pPr>
              <w:spacing w:before="20" w:after="20"/>
            </w:pPr>
            <w:r/>
            <w:r>
              <w:rPr>
                <w:rFonts w:ascii="Verdana" w:hAnsi="Verdana"/>
                <w:b w:val="0"/>
                <w:sz w:val="16"/>
              </w:rPr>
              <w:t>Luminance énergétique dans le canal</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cm</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-100000</w:t>
            </w:r>
          </w:p>
        </w:tc>
        <w:tc>
          <w:tcPr>
            <w:tcW w:type="dxa" w:w="1514"/>
          </w:tcPr>
          <w:p>
            <w:pPr>
              <w:spacing w:before="20" w:after="20"/>
            </w:pPr>
            <w:r/>
            <w:r>
              <w:rPr>
                <w:rFonts w:ascii="Verdana" w:hAnsi="Verdana"/>
                <w:b w:val="0"/>
                <w:sz w:val="16"/>
              </w:rPr>
              <w:t>22</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cm</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0 14 045</w:t>
            </w:r>
          </w:p>
        </w:tc>
        <w:tc>
          <w:tcPr>
            <w:tcW w:type="dxa" w:w="1514"/>
          </w:tcPr>
          <w:p>
            <w:pPr>
              <w:spacing w:before="20" w:after="20"/>
            </w:pPr>
            <w:r/>
            <w:r>
              <w:rPr>
                <w:rFonts w:ascii="Verdana" w:hAnsi="Verdana"/>
                <w:b w:val="0"/>
                <w:sz w:val="16"/>
              </w:rPr>
              <w:t>Luminance énergétique dans le canal</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cm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cm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36: Pour la luminance énergétique dans le canal (0 14 045), on utilise les cm pour représenter le nombre d’onde.</w:t>
            </w:r>
          </w:p>
        </w:tc>
      </w:tr>
      <w:tr>
        <w:trPr>
          <w:cantSplit/>
        </w:trPr>
        <w:tc>
          <w:tcPr>
            <w:tcW w:type="dxa" w:w="1514"/>
          </w:tcPr>
          <w:p>
            <w:pPr>
              <w:spacing w:before="20" w:after="20"/>
            </w:pPr>
            <w:r/>
            <w:r>
              <w:rPr>
                <w:rFonts w:ascii="Verdana" w:hAnsi="Verdana"/>
                <w:b w:val="0"/>
                <w:sz w:val="16"/>
              </w:rPr>
              <w:t>0 14 046</w:t>
            </w:r>
          </w:p>
        </w:tc>
        <w:tc>
          <w:tcPr>
            <w:tcW w:type="dxa" w:w="1514"/>
          </w:tcPr>
          <w:p>
            <w:pPr>
              <w:spacing w:before="20" w:after="20"/>
            </w:pPr>
            <w:r/>
            <w:r>
              <w:rPr>
                <w:rFonts w:ascii="Verdana" w:hAnsi="Verdana"/>
                <w:b w:val="0"/>
                <w:sz w:val="16"/>
              </w:rPr>
              <w:t>Luminance énergétique mise à l'échelle</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29: L’éclaircissage fait ici référence à une méthode pouvant être employée pour sélectionner un sous-ensemble de niveaux à partir d’un modèle qui peut comporter un grand nombre de niveaux verticaux en aval. En ne sélectionnant qu’un sous-ensemble, on réduit l’extension du pseudo-sondage, au risque toutefois d’entraîner une perte d’information et un supplément de traitement.</w:t>
            </w:r>
          </w:p>
        </w:tc>
      </w:tr>
      <w:tr>
        <w:trPr>
          <w:cantSplit/>
        </w:trPr>
        <w:tc>
          <w:tcPr>
            <w:tcW w:type="dxa" w:w="1514"/>
          </w:tcPr>
          <w:p>
            <w:pPr>
              <w:spacing w:before="20" w:after="20"/>
            </w:pPr>
            <w:r/>
            <w:r>
              <w:rPr>
                <w:rFonts w:ascii="Verdana" w:hAnsi="Verdana"/>
                <w:b w:val="0"/>
                <w:sz w:val="16"/>
              </w:rPr>
              <w:t>0 14 047</w:t>
            </w:r>
          </w:p>
        </w:tc>
        <w:tc>
          <w:tcPr>
            <w:tcW w:type="dxa" w:w="1514"/>
          </w:tcPr>
          <w:p>
            <w:pPr>
              <w:spacing w:before="20" w:after="20"/>
            </w:pPr>
            <w:r/>
            <w:r>
              <w:rPr>
                <w:rFonts w:ascii="Verdana" w:hAnsi="Verdana"/>
                <w:b w:val="0"/>
                <w:sz w:val="16"/>
              </w:rPr>
              <w:t>Luminance moyenne AVHRR mise à l'échelle</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0 14 048</w:t>
            </w:r>
          </w:p>
        </w:tc>
        <w:tc>
          <w:tcPr>
            <w:tcW w:type="dxa" w:w="1514"/>
          </w:tcPr>
          <w:p>
            <w:pPr>
              <w:spacing w:before="20" w:after="20"/>
            </w:pPr>
            <w:r/>
            <w:r>
              <w:rPr>
                <w:rFonts w:ascii="Verdana" w:hAnsi="Verdana"/>
                <w:b w:val="0"/>
                <w:sz w:val="16"/>
              </w:rPr>
              <w:t>Écart type de la luminance AVHRR mise à l'échelle</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r>
              <w:rPr>
                <w:rFonts w:ascii="Verdana" w:hAnsi="Verdana"/>
                <w:sz w:val="16"/>
              </w:rPr>
              <w:t xml:space="preserve"> 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0 14 050</w:t>
            </w:r>
          </w:p>
        </w:tc>
        <w:tc>
          <w:tcPr>
            <w:tcW w:type="dxa" w:w="1514"/>
          </w:tcPr>
          <w:p>
            <w:pPr>
              <w:spacing w:before="20" w:after="20"/>
            </w:pPr>
            <w:r/>
            <w:r>
              <w:rPr>
                <w:rFonts w:ascii="Verdana" w:hAnsi="Verdana"/>
                <w:b w:val="0"/>
                <w:sz w:val="16"/>
              </w:rPr>
              <w:t>Émissivité</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69: Ne plus employer cette séquence compte tenu de l’usage incorrect du descripteur 0 04 075; il y a lieu d’utiliser en remplacement la séquence 3 06 019.</w:t>
            </w:r>
          </w:p>
        </w:tc>
      </w:tr>
      <w:tr>
        <w:trPr>
          <w:cantSplit/>
        </w:trPr>
        <w:tc>
          <w:tcPr>
            <w:tcW w:type="dxa" w:w="1514"/>
          </w:tcPr>
          <w:p>
            <w:pPr>
              <w:spacing w:before="20" w:after="20"/>
            </w:pPr>
            <w:r/>
            <w:r>
              <w:rPr>
                <w:rFonts w:ascii="Verdana" w:hAnsi="Verdana"/>
                <w:b w:val="0"/>
                <w:sz w:val="16"/>
              </w:rPr>
              <w:t>0 14 051</w:t>
            </w:r>
          </w:p>
        </w:tc>
        <w:tc>
          <w:tcPr>
            <w:tcW w:type="dxa" w:w="1514"/>
          </w:tcPr>
          <w:p>
            <w:pPr>
              <w:spacing w:before="20" w:after="20"/>
            </w:pPr>
            <w:r/>
            <w:r>
              <w:rPr>
                <w:rFonts w:ascii="Verdana" w:hAnsi="Verdana"/>
                <w:b w:val="0"/>
                <w:sz w:val="16"/>
              </w:rPr>
              <w:t>Rayonnement solaire direct, intégré au cours de la dernière heure</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0 14 052</w:t>
            </w:r>
          </w:p>
        </w:tc>
        <w:tc>
          <w:tcPr>
            <w:tcW w:type="dxa" w:w="1514"/>
          </w:tcPr>
          <w:p>
            <w:pPr>
              <w:spacing w:before="20" w:after="20"/>
            </w:pPr>
            <w:r/>
            <w:r>
              <w:rPr>
                <w:rFonts w:ascii="Verdana" w:hAnsi="Verdana"/>
                <w:b w:val="0"/>
                <w:sz w:val="16"/>
              </w:rPr>
              <w:t>Rayonnement solaire global ascendant, intégré sur une période déterminée</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-1048574</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0 14 053</w:t>
            </w:r>
          </w:p>
        </w:tc>
        <w:tc>
          <w:tcPr>
            <w:tcW w:type="dxa" w:w="1514"/>
          </w:tcPr>
          <w:p>
            <w:pPr>
              <w:spacing w:before="20" w:after="20"/>
            </w:pPr>
            <w:r/>
            <w:r>
              <w:rPr>
                <w:rFonts w:ascii="Verdana" w:hAnsi="Verdana"/>
                <w:b w:val="0"/>
                <w:sz w:val="16"/>
              </w:rPr>
              <w:t>Bilan du rayonnement (précision élevée), intégré sur une période déterminée</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-1048574</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0 14 054</w:t>
            </w:r>
          </w:p>
        </w:tc>
        <w:tc>
          <w:tcPr>
            <w:tcW w:type="dxa" w:w="1514"/>
          </w:tcPr>
          <w:p>
            <w:pPr>
              <w:spacing w:before="20" w:after="20"/>
            </w:pPr>
            <w:r/>
            <w:r>
              <w:rPr>
                <w:rFonts w:ascii="Verdana" w:hAnsi="Verdana"/>
                <w:b w:val="0"/>
                <w:sz w:val="16"/>
              </w:rPr>
              <w:t>Rayonnement photosynthétiquement actif, intégré sur une période déterminée</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0 14 055</w:t>
            </w:r>
          </w:p>
        </w:tc>
        <w:tc>
          <w:tcPr>
            <w:tcW w:type="dxa" w:w="1514"/>
          </w:tcPr>
          <w:p>
            <w:pPr>
              <w:spacing w:before="20" w:after="20"/>
            </w:pPr>
            <w:r/>
            <w:r>
              <w:rPr>
                <w:rFonts w:ascii="Verdana" w:hAnsi="Verdana"/>
                <w:b w:val="0"/>
                <w:sz w:val="16"/>
              </w:rPr>
              <w:t>Indice de l'activité solaire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0 14 056</w:t>
            </w:r>
          </w:p>
        </w:tc>
        <w:tc>
          <w:tcPr>
            <w:tcW w:type="dxa" w:w="1514"/>
          </w:tcPr>
          <w:p>
            <w:pPr>
              <w:spacing w:before="20" w:after="20"/>
            </w:pPr>
            <w:r/>
            <w:r>
              <w:rPr>
                <w:rFonts w:ascii="Verdana" w:hAnsi="Verdana"/>
                <w:b w:val="0"/>
                <w:sz w:val="16"/>
              </w:rPr>
              <w:t>Luminance de fond</w:t>
            </w:r>
          </w:p>
        </w:tc>
        <w:tc>
          <w:tcPr>
            <w:tcW w:type="dxa" w:w="1514"/>
          </w:tcPr>
          <w:p>
            <w:pPr>
              <w:spacing w:before="20" w:after="20"/>
            </w:pPr>
            <w:r/>
            <w:r>
              <w:rPr>
                <w:rFonts w:ascii="Verdana" w:hAnsi="Verdana"/>
                <w:sz w:val="16"/>
              </w:rPr>
              <w:t>Cd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Cd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0 14 057</w:t>
            </w:r>
          </w:p>
        </w:tc>
        <w:tc>
          <w:tcPr>
            <w:tcW w:type="dxa" w:w="1514"/>
          </w:tcPr>
          <w:p>
            <w:pPr>
              <w:spacing w:before="20" w:after="20"/>
            </w:pPr>
            <w:r/>
            <w:r>
              <w:rPr>
                <w:rFonts w:ascii="Verdana" w:hAnsi="Verdana"/>
                <w:b w:val="0"/>
                <w:sz w:val="16"/>
              </w:rPr>
              <w:t>Flux de chaleur du sol</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-1048574</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0 14 072</w:t>
            </w:r>
          </w:p>
        </w:tc>
        <w:tc>
          <w:tcPr>
            <w:tcW w:type="dxa" w:w="1514"/>
          </w:tcPr>
          <w:p>
            <w:pPr>
              <w:spacing w:before="20" w:after="20"/>
            </w:pPr>
            <w:r/>
            <w:r>
              <w:rPr>
                <w:rFonts w:ascii="Verdana" w:hAnsi="Verdana"/>
                <w:b w:val="0"/>
                <w:sz w:val="16"/>
              </w:rPr>
              <w:t>Rayonnement ultraviolet global</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-4000000</w:t>
            </w:r>
          </w:p>
        </w:tc>
        <w:tc>
          <w:tcPr>
            <w:tcW w:type="dxa" w:w="1514"/>
          </w:tcPr>
          <w:p>
            <w:pPr>
              <w:spacing w:before="20" w:after="20"/>
            </w:pPr>
            <w:r/>
            <w:r>
              <w:rPr>
                <w:rFonts w:ascii="Verdana" w:hAnsi="Verdana"/>
                <w:b w:val="0"/>
                <w:sz w:val="16"/>
              </w:rPr>
              <w:t>23</w:t>
            </w:r>
          </w:p>
        </w:tc>
        <w:tc>
          <w:tcPr>
            <w:tcW w:type="dxa" w:w="1514"/>
          </w:tcPr>
          <w:p>
            <w:pPr>
              <w:spacing w:before="20" w:after="20"/>
            </w:pPr>
            <w:r/>
            <w:r>
              <w:rPr>
                <w:rFonts w:ascii="Verdana" w:hAnsi="Verdana"/>
                <w:sz w:val="16"/>
              </w:rPr>
              <w:t>J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Note 83: Le rayonnement ultraviolet global (0 14 072) correspond à l’énergie reçue sous forme de lumière ultraviolette, intégrée sur une période déterminée dans une bande spectrale donnée. 0 14 072 est précédé d’un descripteur de période ainsi que de la longueur d’onde spectrographique (0 02 071) et de la largeur spectrographique (0 02 072). Par exemple, quand 0 14 072 est utilisé pour indiquer le rayonnement ultraviolet global, 0 02 071 et 0 02 072 précisent la bande spectrale de 280 à 315 nm.</w:t>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