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15 : Constituants physiques/chimiques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Ozone total</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Masse d'air (correspondant à une trajectoire oblique à une altitude de 22 km)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Pression partielle de l'ozone mesuré (sondage)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Facteur de correction du sondage de l'ozone (CF)</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 Le modèle 3 07 082 est caduc.</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Pression partielle de l'ozone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 La séquence 3 10 027 est caduque.</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de la concentration en nombre des particules de l'atmosphère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Mantisse du rapport de mélange volumétrique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de la concentration en nombre de molécules d'ozone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Log10 de la densité électronique intégrée</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Nombre total d'électrons par mètre carré</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Valeur maximale du spectre de l'image avant normalisation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Densité d'ozone intégrée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Densité de masse intégrée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Épaisseur optique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Type de polluant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Concentration du polluant (mol mol-1)</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Concentration du polluant (kg m-3)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Fraction molaire du constituant/ polluant atmosphérique en air sec</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Coefficient d'atténuation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Indice de contamination par aérosols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79: Pour ce descripteur, les nombres inférieurs à –1 indiquent une prédominance d’aérosols de dispersion, dont la concentration augmente au fur et à mesure que la valeur du nombre baisse. Les nombres supérieurs à +1 indiquent une prédominance d’aérosols absorbants, dont la concentration augmente au fur et à mesure que la valeur du nombre augmente. Les nombres entre –1 et +1 indiquent des nuages ou du bruit.</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Retard de propagation dans l'atmosphère du signal du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Erreur estimative du retard de propagation dans l'atmosphère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Différence des retards de propagation pour des visées du limbe aux limites extrêmes du balayage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Erreur estimative de la différence des retards de propagation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Composante du retard de propagation pour une visée au zénith due à la vapeur d'eau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Réfractivité atmosphérique</w:t>
            </w:r>
          </w:p>
        </w:tc>
        <w:tc>
          <w:tcPr>
            <w:tcW w:type="dxa" w:w="1514"/>
          </w:tcPr>
          <w:p>
            <w:pPr>
              <w:spacing w:before="20" w:after="20"/>
            </w:pPr>
            <w:r/>
            <w:r>
              <w:rPr>
                <w:rFonts w:ascii="Verdana" w:hAnsi="Verdana"/>
                <w:sz w:val="16"/>
              </w:rPr>
              <w:t>Unités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Unités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142: Le rapport entre la réfractivité N et l’indice de réfraction n est donné par la formule N = 10 6 ( n – 1). N est donc adimensionnel, mais les valeurs obtenues à partir de cette formule sont données par convention en unités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Angle de courbure</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Indice de dioxyde de soufre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78: Pour définir la période considérée, il faut répéter une fois le descripteur 0 04 024.</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Facteur de réflexion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Dioxyde de soufre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77: Dans la Région III, la température maximale diurne et la température minimale nocturne sont trans- mises (l’heure de fin de la période peut ne pas correspondre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Indice de contamination volcanique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80: Pour ce descripteur, les unités représentent l’écart-type climatologique de la valeur de l’ozone troposhérique pour une altitude donnée. Par exemple, une valeur de 5,0 indique un profil pour lequel les écarts-types pour une valeur d’ozone troposphérique de 5,0 sont supérieurs à la moyenne climatologique.</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Exposant d'Ångström de l'aérosol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Portée optique météorologique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Log10 de la concentration en nombre de particules d'aérosols de diamètre supérieur à 5 nm</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Log10 de la concentration en nombre de particules d'aérosols de diamètre supérieur à 14 nm</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Log10 de la concentration en nombre de particules d'aérosols de diamètre compris entre 0.25 et 2.5 µm</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Proportion d'aérosols non volatils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Épaisseur optique des aérosols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Rétrodiffusion atténuée</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Incertitude relative à la rétrodiffusion atténuée</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Coefficient de rétrodiffusion des particules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Incertitude relative au coefficient de rétrodiffusion des particules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Coefficient d'atténuation des particules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Incertitude relative au coefficient d'atténuation des particules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Rapport lidar des particules</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Incertitude relative au rapport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Rapport de dépolarisation des particules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Incertitude relative au rapport de dépolarisation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