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20 : Phénomènes observés</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0 20 001</w:t>
            </w:r>
          </w:p>
        </w:tc>
        <w:tc>
          <w:tcPr>
            <w:tcW w:type="dxa" w:w="1514"/>
          </w:tcPr>
          <w:p>
            <w:pPr>
              <w:spacing w:before="20" w:after="20"/>
            </w:pPr>
            <w:r/>
            <w:r>
              <w:rPr>
                <w:rFonts w:ascii="Verdana" w:hAnsi="Verdana"/>
                <w:b w:val="0"/>
                <w:sz w:val="16"/>
              </w:rPr>
              <w:t>Visibilité horizontale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0 20 002</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0 20 003</w:t>
            </w:r>
          </w:p>
        </w:tc>
        <w:tc>
          <w:tcPr>
            <w:tcW w:type="dxa" w:w="1514"/>
          </w:tcPr>
          <w:p>
            <w:pPr>
              <w:spacing w:before="20" w:after="20"/>
            </w:pPr>
            <w:r/>
            <w:r>
              <w:rPr>
                <w:rFonts w:ascii="Verdana" w:hAnsi="Verdana"/>
                <w:b w:val="0"/>
                <w:sz w:val="16"/>
              </w:rPr>
              <w:t>Temps présent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172: Pour le codage du temps présent transmis par une station météorologique automatique, il convient d’utiliser de préférence la suite appropriée des descripteurs 0 20 021, 0 20 022, 0 20 023, 0 20 024, 0 20 025, 0 20 026 et 0 20 027. Le descripteur 0 20 003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0 20 004</w:t>
            </w:r>
          </w:p>
        </w:tc>
        <w:tc>
          <w:tcPr>
            <w:tcW w:type="dxa" w:w="1514"/>
          </w:tcPr>
          <w:p>
            <w:pPr>
              <w:spacing w:before="20" w:after="20"/>
            </w:pPr>
            <w:r/>
            <w:r>
              <w:rPr>
                <w:rFonts w:ascii="Verdana" w:hAnsi="Verdana"/>
                <w:b w:val="0"/>
                <w:sz w:val="16"/>
              </w:rPr>
              <w:t>Temps passé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0 20 005</w:t>
            </w:r>
          </w:p>
        </w:tc>
        <w:tc>
          <w:tcPr>
            <w:tcW w:type="dxa" w:w="1514"/>
          </w:tcPr>
          <w:p>
            <w:pPr>
              <w:spacing w:before="20" w:after="20"/>
            </w:pPr>
            <w:r/>
            <w:r>
              <w:rPr>
                <w:rFonts w:ascii="Verdana" w:hAnsi="Verdana"/>
                <w:b w:val="0"/>
                <w:sz w:val="16"/>
              </w:rPr>
              <w:t>Temps passé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171: Pour le codage du temps passé transmis par une station météorologique automatique, il convient d’utiliser de préférence la suite appropriée des descripteurs 0 20 021, 0 20 022, 0 20 023, 0 20 024, 0 20 025, 0 20 026 et 0 20 027. Le descripteur 0 20 004 ou 0 20 005 n’est utilisé que lorsque les descripteurs indiqués ci-dessus ne s’appliquent pas à l’observation.</w:t>
            </w:r>
          </w:p>
        </w:tc>
      </w:tr>
      <w:tr>
        <w:trPr>
          <w:cantSplit/>
        </w:trPr>
        <w:tc>
          <w:tcPr>
            <w:tcW w:type="dxa" w:w="1514"/>
          </w:tcPr>
          <w:p>
            <w:pPr>
              <w:spacing w:before="20" w:after="20"/>
            </w:pPr>
            <w:r/>
            <w:r>
              <w:rPr>
                <w:rFonts w:ascii="Verdana" w:hAnsi="Verdana"/>
                <w:b w:val="0"/>
                <w:sz w:val="16"/>
              </w:rPr>
              <w:t>0 20 006</w:t>
            </w:r>
          </w:p>
        </w:tc>
        <w:tc>
          <w:tcPr>
            <w:tcW w:type="dxa" w:w="1514"/>
          </w:tcPr>
          <w:p>
            <w:pPr>
              <w:spacing w:before="20" w:after="20"/>
            </w:pPr>
            <w:r/>
            <w:r>
              <w:rPr>
                <w:rFonts w:ascii="Verdana" w:hAnsi="Verdana"/>
                <w:b w:val="0"/>
                <w:sz w:val="16"/>
              </w:rPr>
              <w:t>Règles de vol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0 20 008</w:t>
            </w:r>
          </w:p>
        </w:tc>
        <w:tc>
          <w:tcPr>
            <w:tcW w:type="dxa" w:w="1514"/>
          </w:tcPr>
          <w:p>
            <w:pPr>
              <w:spacing w:before="20" w:after="20"/>
            </w:pPr>
            <w:r/>
            <w:r>
              <w:rPr>
                <w:rFonts w:ascii="Verdana" w:hAnsi="Verdana"/>
                <w:b w:val="0"/>
                <w:sz w:val="16"/>
              </w:rPr>
              <w:t>Répartition des nuages, pour l'aviation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0 20 009</w:t>
            </w:r>
          </w:p>
        </w:tc>
        <w:tc>
          <w:tcPr>
            <w:tcW w:type="dxa" w:w="1514"/>
          </w:tcPr>
          <w:p>
            <w:pPr>
              <w:spacing w:before="20" w:after="20"/>
            </w:pPr>
            <w:r/>
            <w:r>
              <w:rPr>
                <w:rFonts w:ascii="Verdana" w:hAnsi="Verdana"/>
                <w:b w:val="0"/>
                <w:sz w:val="16"/>
              </w:rPr>
              <w:t>Indicateur général du temps (TAF/METAR)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0 20 010</w:t>
            </w:r>
          </w:p>
        </w:tc>
        <w:tc>
          <w:tcPr>
            <w:tcW w:type="dxa" w:w="1514"/>
          </w:tcPr>
          <w:p>
            <w:pPr>
              <w:spacing w:before="20" w:after="20"/>
            </w:pPr>
            <w:r/>
            <w:r>
              <w:rPr>
                <w:rFonts w:ascii="Verdana" w:hAnsi="Verdana"/>
                <w:b w:val="0"/>
                <w:sz w:val="16"/>
              </w:rPr>
              <w:t>Nébulosité (totale)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1514"/>
          </w:tcPr>
          <w:p>
            <w:pPr>
              <w:spacing w:before="20" w:after="20"/>
            </w:pPr>
            <w:r/>
            <w:r>
              <w:rPr>
                <w:rFonts w:ascii="Verdana" w:hAnsi="Verdana"/>
                <w:b w:val="0"/>
                <w:sz w:val="16"/>
              </w:rPr>
              <w:t>0 20 011</w:t>
            </w:r>
          </w:p>
        </w:tc>
        <w:tc>
          <w:tcPr>
            <w:tcW w:type="dxa" w:w="1514"/>
          </w:tcPr>
          <w:p>
            <w:pPr>
              <w:spacing w:before="20" w:after="20"/>
            </w:pPr>
            <w:r/>
            <w:r>
              <w:rPr>
                <w:rFonts w:ascii="Verdana" w:hAnsi="Verdana"/>
                <w:b w:val="0"/>
                <w:sz w:val="16"/>
              </w:rPr>
              <w:t>Nébulosité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0 20 012</w:t>
            </w:r>
          </w:p>
        </w:tc>
        <w:tc>
          <w:tcPr>
            <w:tcW w:type="dxa" w:w="1514"/>
          </w:tcPr>
          <w:p>
            <w:pPr>
              <w:spacing w:before="20" w:after="20"/>
            </w:pPr>
            <w:r/>
            <w:r>
              <w:rPr>
                <w:rFonts w:ascii="Verdana" w:hAnsi="Verdana"/>
                <w:b w:val="0"/>
                <w:sz w:val="16"/>
              </w:rPr>
              <w:t>Type de nuage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0 20 013</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(voir Note 6)</w:t>
            </w:r>
          </w:p>
        </w:tc>
      </w:tr>
      <w:tr>
        <w:trPr>
          <w:cantSplit/>
        </w:trPr>
        <w:tc>
          <w:tcPr>
            <w:tcW w:type="dxa" w:w="1514"/>
          </w:tcPr>
          <w:p>
            <w:pPr>
              <w:spacing w:before="20" w:after="20"/>
            </w:pPr>
            <w:r/>
            <w:r>
              <w:rPr>
                <w:rFonts w:ascii="Verdana" w:hAnsi="Verdana"/>
                <w:b w:val="0"/>
                <w:sz w:val="16"/>
              </w:rPr>
              <w:t>0 20 014</w:t>
            </w:r>
          </w:p>
        </w:tc>
        <w:tc>
          <w:tcPr>
            <w:tcW w:type="dxa" w:w="1514"/>
          </w:tcPr>
          <w:p>
            <w:pPr>
              <w:spacing w:before="20" w:after="20"/>
            </w:pPr>
            <w:r/>
            <w:r>
              <w:rPr>
                <w:rFonts w:ascii="Verdana" w:hAnsi="Verdana"/>
                <w:b w:val="0"/>
                <w:sz w:val="16"/>
              </w:rPr>
              <w:t>Hauteur du sommet des nuages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0 20 015</w:t>
            </w:r>
          </w:p>
        </w:tc>
        <w:tc>
          <w:tcPr>
            <w:tcW w:type="dxa" w:w="1514"/>
          </w:tcPr>
          <w:p>
            <w:pPr>
              <w:spacing w:before="20" w:after="20"/>
            </w:pPr>
            <w:r/>
            <w:r>
              <w:rPr>
                <w:rFonts w:ascii="Verdana" w:hAnsi="Verdana"/>
                <w:b w:val="0"/>
                <w:sz w:val="16"/>
              </w:rPr>
              <w:t>Pression à la base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0 20 016</w:t>
            </w:r>
          </w:p>
        </w:tc>
        <w:tc>
          <w:tcPr>
            <w:tcW w:type="dxa" w:w="1514"/>
          </w:tcPr>
          <w:p>
            <w:pPr>
              <w:spacing w:before="20" w:after="20"/>
            </w:pPr>
            <w:r/>
            <w:r>
              <w:rPr>
                <w:rFonts w:ascii="Verdana" w:hAnsi="Verdana"/>
                <w:b w:val="0"/>
                <w:sz w:val="16"/>
              </w:rPr>
              <w:t>Pression au sommet des nuages</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0 20 017</w:t>
            </w:r>
          </w:p>
        </w:tc>
        <w:tc>
          <w:tcPr>
            <w:tcW w:type="dxa" w:w="1514"/>
          </w:tcPr>
          <w:p>
            <w:pPr>
              <w:spacing w:before="20" w:after="20"/>
            </w:pPr>
            <w:r/>
            <w:r>
              <w:rPr>
                <w:rFonts w:ascii="Verdana" w:hAnsi="Verdana"/>
                <w:b w:val="0"/>
                <w:sz w:val="16"/>
              </w:rPr>
              <w:t>Description du sommet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0 20 018</w:t>
            </w:r>
          </w:p>
        </w:tc>
        <w:tc>
          <w:tcPr>
            <w:tcW w:type="dxa" w:w="1514"/>
          </w:tcPr>
          <w:p>
            <w:pPr>
              <w:spacing w:before="20" w:after="20"/>
            </w:pPr>
            <w:r/>
            <w:r>
              <w:rPr>
                <w:rFonts w:ascii="Verdana" w:hAnsi="Verdana"/>
                <w:b w:val="0"/>
                <w:sz w:val="16"/>
              </w:rPr>
              <w:t>Tendance de la portée visuelle de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0 20 019</w:t>
            </w:r>
          </w:p>
        </w:tc>
        <w:tc>
          <w:tcPr>
            <w:tcW w:type="dxa" w:w="1514"/>
          </w:tcPr>
          <w:p>
            <w:pPr>
              <w:spacing w:before="20" w:after="20"/>
            </w:pPr>
            <w:r/>
            <w:r>
              <w:rPr>
                <w:rFonts w:ascii="Verdana" w:hAnsi="Verdana"/>
                <w:b w:val="0"/>
                <w:sz w:val="16"/>
              </w:rPr>
              <w:t>Temps significatif présent ou prévu</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0 20 020</w:t>
            </w:r>
          </w:p>
        </w:tc>
        <w:tc>
          <w:tcPr>
            <w:tcW w:type="dxa" w:w="1514"/>
          </w:tcPr>
          <w:p>
            <w:pPr>
              <w:spacing w:before="20" w:after="20"/>
            </w:pPr>
            <w:r/>
            <w:r>
              <w:rPr>
                <w:rFonts w:ascii="Verdana" w:hAnsi="Verdana"/>
                <w:b w:val="0"/>
                <w:sz w:val="16"/>
              </w:rPr>
              <w:t>Phénomènes météorologiques significatifs récents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118: Les descripteurs 0 20 019 (temps significatif présent ou prévu) et 0 20 020 (phénomènes météorologiques significatifs récents) sont utilisés conformément à la table 4678 (référence: Manuel des codes (OMM-N° 306), volume I.1).</w:t>
            </w:r>
          </w:p>
        </w:tc>
      </w:tr>
      <w:tr>
        <w:trPr>
          <w:cantSplit/>
        </w:trPr>
        <w:tc>
          <w:tcPr>
            <w:tcW w:type="dxa" w:w="1514"/>
          </w:tcPr>
          <w:p>
            <w:pPr>
              <w:spacing w:before="20" w:after="20"/>
            </w:pPr>
            <w:r/>
            <w:r>
              <w:rPr>
                <w:rFonts w:ascii="Verdana" w:hAnsi="Verdana"/>
                <w:b w:val="0"/>
                <w:sz w:val="16"/>
              </w:rPr>
              <w:t>0 20 021</w:t>
            </w:r>
          </w:p>
        </w:tc>
        <w:tc>
          <w:tcPr>
            <w:tcW w:type="dxa" w:w="1514"/>
          </w:tcPr>
          <w:p>
            <w:pPr>
              <w:spacing w:before="20" w:after="20"/>
            </w:pPr>
            <w:r/>
            <w:r>
              <w:rPr>
                <w:rFonts w:ascii="Verdana" w:hAnsi="Verdana"/>
                <w:b w:val="0"/>
                <w:sz w:val="16"/>
              </w:rPr>
              <w:t>Type de précipitation</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0 20 022</w:t>
            </w:r>
          </w:p>
        </w:tc>
        <w:tc>
          <w:tcPr>
            <w:tcW w:type="dxa" w:w="1514"/>
          </w:tcPr>
          <w:p>
            <w:pPr>
              <w:spacing w:before="20" w:after="20"/>
            </w:pPr>
            <w:r/>
            <w:r>
              <w:rPr>
                <w:rFonts w:ascii="Verdana" w:hAnsi="Verdana"/>
                <w:b w:val="0"/>
                <w:sz w:val="16"/>
              </w:rPr>
              <w:t>Caractéristique de la précipitation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0 20 023</w:t>
            </w:r>
          </w:p>
        </w:tc>
        <w:tc>
          <w:tcPr>
            <w:tcW w:type="dxa" w:w="1514"/>
          </w:tcPr>
          <w:p>
            <w:pPr>
              <w:spacing w:before="20" w:after="20"/>
            </w:pPr>
            <w:r/>
            <w:r>
              <w:rPr>
                <w:rFonts w:ascii="Verdana" w:hAnsi="Verdana"/>
                <w:b w:val="0"/>
                <w:sz w:val="16"/>
              </w:rPr>
              <w:t>Autres phénomènes météorologiques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0 20 024</w:t>
            </w:r>
          </w:p>
        </w:tc>
        <w:tc>
          <w:tcPr>
            <w:tcW w:type="dxa" w:w="1514"/>
          </w:tcPr>
          <w:p>
            <w:pPr>
              <w:spacing w:before="20" w:after="20"/>
            </w:pPr>
            <w:r/>
            <w:r>
              <w:rPr>
                <w:rFonts w:ascii="Verdana" w:hAnsi="Verdana"/>
                <w:b w:val="0"/>
                <w:sz w:val="16"/>
              </w:rPr>
              <w:t>Intensité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0 20 025</w:t>
            </w:r>
          </w:p>
        </w:tc>
        <w:tc>
          <w:tcPr>
            <w:tcW w:type="dxa" w:w="1514"/>
          </w:tcPr>
          <w:p>
            <w:pPr>
              <w:spacing w:before="20" w:after="20"/>
            </w:pPr>
            <w:r/>
            <w:r>
              <w:rPr>
                <w:rFonts w:ascii="Verdana" w:hAnsi="Verdana"/>
                <w:b w:val="0"/>
                <w:sz w:val="16"/>
              </w:rPr>
              <w:t>Obscurcissement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0 20 026</w:t>
            </w:r>
          </w:p>
        </w:tc>
        <w:tc>
          <w:tcPr>
            <w:tcW w:type="dxa" w:w="1514"/>
          </w:tcPr>
          <w:p>
            <w:pPr>
              <w:spacing w:before="20" w:after="20"/>
            </w:pPr>
            <w:r/>
            <w:r>
              <w:rPr>
                <w:rFonts w:ascii="Verdana" w:hAnsi="Verdana"/>
                <w:b w:val="0"/>
                <w:sz w:val="16"/>
              </w:rPr>
              <w:t>Caractéristique de l'obscurcissement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0 20 027</w:t>
            </w:r>
          </w:p>
        </w:tc>
        <w:tc>
          <w:tcPr>
            <w:tcW w:type="dxa" w:w="1514"/>
          </w:tcPr>
          <w:p>
            <w:pPr>
              <w:spacing w:before="20" w:after="20"/>
            </w:pPr>
            <w:r/>
            <w:r>
              <w:rPr>
                <w:rFonts w:ascii="Verdana" w:hAnsi="Verdana"/>
                <w:b w:val="0"/>
                <w:sz w:val="16"/>
              </w:rPr>
              <w:t>Apparition du phénomène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0 20 028</w:t>
            </w:r>
          </w:p>
        </w:tc>
        <w:tc>
          <w:tcPr>
            <w:tcW w:type="dxa" w:w="1514"/>
          </w:tcPr>
          <w:p>
            <w:pPr>
              <w:spacing w:before="20" w:after="20"/>
            </w:pPr>
            <w:r/>
            <w:r>
              <w:rPr>
                <w:rFonts w:ascii="Verdana" w:hAnsi="Verdana"/>
                <w:b w:val="0"/>
                <w:sz w:val="16"/>
              </w:rPr>
              <w:t>Changement d'intensité prévu</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0 20 029</w:t>
            </w:r>
          </w:p>
        </w:tc>
        <w:tc>
          <w:tcPr>
            <w:tcW w:type="dxa" w:w="1514"/>
          </w:tcPr>
          <w:p>
            <w:pPr>
              <w:spacing w:before="20" w:after="20"/>
            </w:pPr>
            <w:r/>
            <w:r>
              <w:rPr>
                <w:rFonts w:ascii="Verdana" w:hAnsi="Verdana"/>
                <w:b w:val="0"/>
                <w:sz w:val="16"/>
              </w:rPr>
              <w:t>Indicateur de pluie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0 20 031</w:t>
            </w:r>
          </w:p>
        </w:tc>
        <w:tc>
          <w:tcPr>
            <w:tcW w:type="dxa" w:w="1514"/>
          </w:tcPr>
          <w:p>
            <w:pPr>
              <w:spacing w:before="20" w:after="20"/>
            </w:pPr>
            <w:r/>
            <w:r>
              <w:rPr>
                <w:rFonts w:ascii="Verdana" w:hAnsi="Verdana"/>
                <w:b w:val="0"/>
                <w:sz w:val="16"/>
              </w:rPr>
              <w:t>Dépôt de glace (épaisseur)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0 20 032</w:t>
            </w:r>
          </w:p>
        </w:tc>
        <w:tc>
          <w:tcPr>
            <w:tcW w:type="dxa" w:w="1514"/>
          </w:tcPr>
          <w:p>
            <w:pPr>
              <w:spacing w:before="20" w:after="20"/>
            </w:pPr>
            <w:r/>
            <w:r>
              <w:rPr>
                <w:rFonts w:ascii="Verdana" w:hAnsi="Verdana"/>
                <w:b w:val="0"/>
                <w:sz w:val="16"/>
              </w:rPr>
              <w:t>Vitesse d'accumulation de la glace (estimation)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0 20 033</w:t>
            </w:r>
          </w:p>
        </w:tc>
        <w:tc>
          <w:tcPr>
            <w:tcW w:type="dxa" w:w="1514"/>
          </w:tcPr>
          <w:p>
            <w:pPr>
              <w:spacing w:before="20" w:after="20"/>
            </w:pPr>
            <w:r/>
            <w:r>
              <w:rPr>
                <w:rFonts w:ascii="Verdana" w:hAnsi="Verdana"/>
                <w:b w:val="0"/>
                <w:sz w:val="16"/>
              </w:rPr>
              <w:t>Cause de l'accumulation de la glace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0 20 034</w:t>
            </w:r>
          </w:p>
        </w:tc>
        <w:tc>
          <w:tcPr>
            <w:tcW w:type="dxa" w:w="1514"/>
          </w:tcPr>
          <w:p>
            <w:pPr>
              <w:spacing w:before="20" w:after="20"/>
            </w:pPr>
            <w:r/>
            <w:r>
              <w:rPr>
                <w:rFonts w:ascii="Verdana" w:hAnsi="Verdana"/>
                <w:b w:val="0"/>
                <w:sz w:val="16"/>
              </w:rPr>
              <w:t>Concentration des glaces de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0 20 035</w:t>
            </w:r>
          </w:p>
        </w:tc>
        <w:tc>
          <w:tcPr>
            <w:tcW w:type="dxa" w:w="1514"/>
          </w:tcPr>
          <w:p>
            <w:pPr>
              <w:spacing w:before="20" w:after="20"/>
            </w:pPr>
            <w:r/>
            <w:r>
              <w:rPr>
                <w:rFonts w:ascii="Verdana" w:hAnsi="Verdana"/>
                <w:b w:val="0"/>
                <w:sz w:val="16"/>
              </w:rPr>
              <w:t>Quantité et type de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0 20 036</w:t>
            </w:r>
          </w:p>
        </w:tc>
        <w:tc>
          <w:tcPr>
            <w:tcW w:type="dxa" w:w="1514"/>
          </w:tcPr>
          <w:p>
            <w:pPr>
              <w:spacing w:before="20" w:after="20"/>
            </w:pPr>
            <w:r/>
            <w:r>
              <w:rPr>
                <w:rFonts w:ascii="Verdana" w:hAnsi="Verdana"/>
                <w:b w:val="0"/>
                <w:sz w:val="16"/>
              </w:rPr>
              <w:t>Situation des glaces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0 20 037</w:t>
            </w:r>
          </w:p>
        </w:tc>
        <w:tc>
          <w:tcPr>
            <w:tcW w:type="dxa" w:w="1514"/>
          </w:tcPr>
          <w:p>
            <w:pPr>
              <w:spacing w:before="20" w:after="20"/>
            </w:pPr>
            <w:r/>
            <w:r>
              <w:rPr>
                <w:rFonts w:ascii="Verdana" w:hAnsi="Verdana"/>
                <w:b w:val="0"/>
                <w:sz w:val="16"/>
              </w:rPr>
              <w:t>Évolution de la glace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0 20 038</w:t>
            </w:r>
          </w:p>
        </w:tc>
        <w:tc>
          <w:tcPr>
            <w:tcW w:type="dxa" w:w="1514"/>
          </w:tcPr>
          <w:p>
            <w:pPr>
              <w:spacing w:before="20" w:after="20"/>
            </w:pPr>
            <w:r/>
            <w:r>
              <w:rPr>
                <w:rFonts w:ascii="Verdana" w:hAnsi="Verdana"/>
                <w:b w:val="0"/>
                <w:sz w:val="16"/>
              </w:rPr>
              <w:t>Direction de la lisière des glaces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135: Le champ de données pour le descripteur 0 20 038, défini 12 à l’origine, est faux. 9 bits sont suffisants comme pour toutes les autres quantités «degré vrai». Cependant, le champ de 12 bits est maintenu par souci d’uniformité des séries de données. Une direction de la lisière des glaces de valeur 0 signifie «Navire dans le chenal côtier ou le chenal de séparation».</w:t>
            </w:r>
          </w:p>
        </w:tc>
      </w:tr>
      <w:tr>
        <w:trPr>
          <w:cantSplit/>
        </w:trPr>
        <w:tc>
          <w:tcPr>
            <w:tcW w:type="dxa" w:w="1514"/>
          </w:tcPr>
          <w:p>
            <w:pPr>
              <w:spacing w:before="20" w:after="20"/>
            </w:pPr>
            <w:r/>
            <w:r>
              <w:rPr>
                <w:rFonts w:ascii="Verdana" w:hAnsi="Verdana"/>
                <w:b w:val="0"/>
                <w:sz w:val="16"/>
              </w:rPr>
              <w:t>0 20 039</w:t>
            </w:r>
          </w:p>
        </w:tc>
        <w:tc>
          <w:tcPr>
            <w:tcW w:type="dxa" w:w="1514"/>
          </w:tcPr>
          <w:p>
            <w:pPr>
              <w:spacing w:before="20" w:after="20"/>
            </w:pPr>
            <w:r/>
            <w:r>
              <w:rPr>
                <w:rFonts w:ascii="Verdana" w:hAnsi="Verdana"/>
                <w:b w:val="0"/>
                <w:sz w:val="16"/>
              </w:rPr>
              <w:t>Distance des glaces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0 20 040</w:t>
            </w:r>
          </w:p>
        </w:tc>
        <w:tc>
          <w:tcPr>
            <w:tcW w:type="dxa" w:w="1514"/>
          </w:tcPr>
          <w:p>
            <w:pPr>
              <w:spacing w:before="20" w:after="20"/>
            </w:pPr>
            <w:r/>
            <w:r>
              <w:rPr>
                <w:rFonts w:ascii="Verdana" w:hAnsi="Verdana"/>
                <w:b w:val="0"/>
                <w:sz w:val="16"/>
              </w:rPr>
              <w:t>Évolution de la chasse-neige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0 20 041</w:t>
            </w:r>
          </w:p>
        </w:tc>
        <w:tc>
          <w:tcPr>
            <w:tcW w:type="dxa" w:w="1514"/>
          </w:tcPr>
          <w:p>
            <w:pPr>
              <w:spacing w:before="20" w:after="20"/>
            </w:pPr>
            <w:r/>
            <w:r>
              <w:rPr>
                <w:rFonts w:ascii="Verdana" w:hAnsi="Verdana"/>
                <w:b w:val="0"/>
                <w:sz w:val="16"/>
              </w:rPr>
              <w:t>Givrage d'aéronef</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0 20 042</w:t>
            </w:r>
          </w:p>
        </w:tc>
        <w:tc>
          <w:tcPr>
            <w:tcW w:type="dxa" w:w="1514"/>
          </w:tcPr>
          <w:p>
            <w:pPr>
              <w:spacing w:before="20" w:after="20"/>
            </w:pPr>
            <w:r/>
            <w:r>
              <w:rPr>
                <w:rFonts w:ascii="Verdana" w:hAnsi="Verdana"/>
                <w:b w:val="0"/>
                <w:sz w:val="16"/>
              </w:rPr>
              <w:t>Givrage de la cellule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0 20 043</w:t>
            </w:r>
          </w:p>
        </w:tc>
        <w:tc>
          <w:tcPr>
            <w:tcW w:type="dxa" w:w="1514"/>
          </w:tcPr>
          <w:p>
            <w:pPr>
              <w:spacing w:before="20" w:after="20"/>
            </w:pPr>
            <w:r/>
            <w:r>
              <w:rPr>
                <w:rFonts w:ascii="Verdana" w:hAnsi="Verdana"/>
                <w:b w:val="0"/>
                <w:sz w:val="16"/>
              </w:rPr>
              <w:t>Teneur maximale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0 20 044</w:t>
            </w:r>
          </w:p>
        </w:tc>
        <w:tc>
          <w:tcPr>
            <w:tcW w:type="dxa" w:w="1514"/>
          </w:tcPr>
          <w:p>
            <w:pPr>
              <w:spacing w:before="20" w:after="20"/>
            </w:pPr>
            <w:r/>
            <w:r>
              <w:rPr>
                <w:rFonts w:ascii="Verdana" w:hAnsi="Verdana"/>
                <w:b w:val="0"/>
                <w:sz w:val="16"/>
              </w:rPr>
              <w:t>Teneur moyenne en eau à l'état liquide</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0 20 045</w:t>
            </w:r>
          </w:p>
        </w:tc>
        <w:tc>
          <w:tcPr>
            <w:tcW w:type="dxa" w:w="1514"/>
          </w:tcPr>
          <w:p>
            <w:pPr>
              <w:spacing w:before="20" w:after="20"/>
            </w:pPr>
            <w:r/>
            <w:r>
              <w:rPr>
                <w:rFonts w:ascii="Verdana" w:hAnsi="Verdana"/>
                <w:b w:val="0"/>
                <w:sz w:val="16"/>
              </w:rPr>
              <w:t>Grosses gouttes d'eau surfondues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0 20 048</w:t>
            </w:r>
          </w:p>
        </w:tc>
        <w:tc>
          <w:tcPr>
            <w:tcW w:type="dxa" w:w="1514"/>
          </w:tcPr>
          <w:p>
            <w:pPr>
              <w:spacing w:before="20" w:after="20"/>
            </w:pPr>
            <w:r/>
            <w:r>
              <w:rPr>
                <w:rFonts w:ascii="Verdana" w:hAnsi="Verdana"/>
                <w:b w:val="0"/>
                <w:sz w:val="16"/>
              </w:rPr>
              <w:t>Évolution du phénomène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0 20 050</w:t>
            </w:r>
          </w:p>
        </w:tc>
        <w:tc>
          <w:tcPr>
            <w:tcW w:type="dxa" w:w="1514"/>
          </w:tcPr>
          <w:p>
            <w:pPr>
              <w:spacing w:before="20" w:after="20"/>
            </w:pPr>
            <w:r/>
            <w:r>
              <w:rPr>
                <w:rFonts w:ascii="Verdana" w:hAnsi="Verdana"/>
                <w:b w:val="0"/>
                <w:sz w:val="16"/>
              </w:rPr>
              <w:t>Index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0 20 051</w:t>
            </w:r>
          </w:p>
        </w:tc>
        <w:tc>
          <w:tcPr>
            <w:tcW w:type="dxa" w:w="1514"/>
          </w:tcPr>
          <w:p>
            <w:pPr>
              <w:spacing w:before="20" w:after="20"/>
            </w:pPr>
            <w:r/>
            <w:r>
              <w:rPr>
                <w:rFonts w:ascii="Verdana" w:hAnsi="Verdana"/>
                <w:b w:val="0"/>
                <w:sz w:val="16"/>
              </w:rPr>
              <w:t>Quantité de nuages bas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0 20 052</w:t>
            </w:r>
          </w:p>
        </w:tc>
        <w:tc>
          <w:tcPr>
            <w:tcW w:type="dxa" w:w="1514"/>
          </w:tcPr>
          <w:p>
            <w:pPr>
              <w:spacing w:before="20" w:after="20"/>
            </w:pPr>
            <w:r/>
            <w:r>
              <w:rPr>
                <w:rFonts w:ascii="Verdana" w:hAnsi="Verdana"/>
                <w:b w:val="0"/>
                <w:sz w:val="16"/>
              </w:rPr>
              <w:t>Quantité de nuages de l'étage moyen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0 20 053</w:t>
            </w:r>
          </w:p>
        </w:tc>
        <w:tc>
          <w:tcPr>
            <w:tcW w:type="dxa" w:w="1514"/>
          </w:tcPr>
          <w:p>
            <w:pPr>
              <w:spacing w:before="20" w:after="20"/>
            </w:pPr>
            <w:r/>
            <w:r>
              <w:rPr>
                <w:rFonts w:ascii="Verdana" w:hAnsi="Verdana"/>
                <w:b w:val="0"/>
                <w:sz w:val="16"/>
              </w:rPr>
              <w:t>Quantité de nuages élevés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0 20 054</w:t>
            </w:r>
          </w:p>
        </w:tc>
        <w:tc>
          <w:tcPr>
            <w:tcW w:type="dxa" w:w="1514"/>
          </w:tcPr>
          <w:p>
            <w:pPr>
              <w:spacing w:before="20" w:after="20"/>
            </w:pPr>
            <w:r/>
            <w:r>
              <w:rPr>
                <w:rFonts w:ascii="Verdana" w:hAnsi="Verdana"/>
                <w:b w:val="0"/>
                <w:sz w:val="16"/>
              </w:rPr>
              <w:t>Direction vraie d'où viennent ou dans laquelle sont observés le phénomène indiqué ou les nuages</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159: Le descripteur 0 20 054 (direction vraie d’un phénomène ou des nuages) est utilisé pour indiquer la direction vraie d’où viennent ou dans laquelle sont observés un phénomène ou des nuages. Une valeur 0 pour ce descripteur signifie «stationnaire ou pas de nuages» ou «observé à la station» alors qu’une valeur 500 signifie «observé dans toutes les directions» et une valeur 501 «inconnue ou nuages invisibles».</w:t>
            </w:r>
          </w:p>
        </w:tc>
      </w:tr>
      <w:tr>
        <w:trPr>
          <w:cantSplit/>
        </w:trPr>
        <w:tc>
          <w:tcPr>
            <w:tcW w:type="dxa" w:w="1514"/>
          </w:tcPr>
          <w:p>
            <w:pPr>
              <w:spacing w:before="20" w:after="20"/>
            </w:pPr>
            <w:r/>
            <w:r>
              <w:rPr>
                <w:rFonts w:ascii="Verdana" w:hAnsi="Verdana"/>
                <w:b w:val="0"/>
                <w:sz w:val="16"/>
              </w:rPr>
              <w:t>0 20 055</w:t>
            </w:r>
          </w:p>
        </w:tc>
        <w:tc>
          <w:tcPr>
            <w:tcW w:type="dxa" w:w="1514"/>
          </w:tcPr>
          <w:p>
            <w:pPr>
              <w:spacing w:before="20" w:after="20"/>
            </w:pPr>
            <w:r/>
            <w:r>
              <w:rPr>
                <w:rFonts w:ascii="Verdana" w:hAnsi="Verdana"/>
                <w:b w:val="0"/>
                <w:sz w:val="16"/>
              </w:rPr>
              <w:t>État du ciel dans les régions tropicales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0 20 056</w:t>
            </w:r>
          </w:p>
        </w:tc>
        <w:tc>
          <w:tcPr>
            <w:tcW w:type="dxa" w:w="1514"/>
          </w:tcPr>
          <w:p>
            <w:pPr>
              <w:spacing w:before="20" w:after="20"/>
            </w:pPr>
            <w:r/>
            <w:r>
              <w:rPr>
                <w:rFonts w:ascii="Verdana" w:hAnsi="Verdana"/>
                <w:b w:val="0"/>
                <w:sz w:val="16"/>
              </w:rPr>
              <w:t>Phase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0 20 058</w:t>
            </w:r>
          </w:p>
        </w:tc>
        <w:tc>
          <w:tcPr>
            <w:tcW w:type="dxa" w:w="1514"/>
          </w:tcPr>
          <w:p>
            <w:pPr>
              <w:spacing w:before="20" w:after="20"/>
            </w:pPr>
            <w:r/>
            <w:r>
              <w:rPr>
                <w:rFonts w:ascii="Verdana" w:hAnsi="Verdana"/>
                <w:b w:val="0"/>
                <w:sz w:val="16"/>
              </w:rPr>
              <w:t>Visibilité sur la mer depuis une station côtière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0 20 059</w:t>
            </w:r>
          </w:p>
        </w:tc>
        <w:tc>
          <w:tcPr>
            <w:tcW w:type="dxa" w:w="1514"/>
          </w:tcPr>
          <w:p>
            <w:pPr>
              <w:spacing w:before="20" w:after="20"/>
            </w:pPr>
            <w:r/>
            <w:r>
              <w:rPr>
                <w:rFonts w:ascii="Verdana" w:hAnsi="Verdana"/>
                <w:b w:val="0"/>
                <w:sz w:val="16"/>
              </w:rPr>
              <w:t>Visibilité horizontale minimale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0 20 060</w:t>
            </w:r>
          </w:p>
        </w:tc>
        <w:tc>
          <w:tcPr>
            <w:tcW w:type="dxa" w:w="1514"/>
          </w:tcPr>
          <w:p>
            <w:pPr>
              <w:spacing w:before="20" w:after="20"/>
            </w:pPr>
            <w:r/>
            <w:r>
              <w:rPr>
                <w:rFonts w:ascii="Verdana" w:hAnsi="Verdana"/>
                <w:b w:val="0"/>
                <w:sz w:val="16"/>
              </w:rPr>
              <w:t>Visibilité horizontale dominante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24: Soit le champ 0 01 011 est utilisé et celui-ci est manquant, soit c'est l'inverse.</w:t>
            </w:r>
          </w:p>
        </w:tc>
      </w:tr>
      <w:tr>
        <w:trPr>
          <w:cantSplit/>
        </w:trPr>
        <w:tc>
          <w:tcPr>
            <w:tcW w:type="dxa" w:w="1514"/>
          </w:tcPr>
          <w:p>
            <w:pPr>
              <w:spacing w:before="20" w:after="20"/>
            </w:pPr>
            <w:r/>
            <w:r>
              <w:rPr>
                <w:rFonts w:ascii="Verdana" w:hAnsi="Verdana"/>
                <w:b w:val="0"/>
                <w:sz w:val="16"/>
              </w:rPr>
              <w:t>0 20 061</w:t>
            </w:r>
          </w:p>
        </w:tc>
        <w:tc>
          <w:tcPr>
            <w:tcW w:type="dxa" w:w="1514"/>
          </w:tcPr>
          <w:p>
            <w:pPr>
              <w:spacing w:before="20" w:after="20"/>
            </w:pPr>
            <w:r/>
            <w:r>
              <w:rPr>
                <w:rFonts w:ascii="Verdana" w:hAnsi="Verdana"/>
                <w:b w:val="0"/>
                <w:sz w:val="16"/>
              </w:rPr>
              <w:t>Portée visuelle de piste (PVP)</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0 20 062</w:t>
            </w:r>
          </w:p>
        </w:tc>
        <w:tc>
          <w:tcPr>
            <w:tcW w:type="dxa" w:w="1514"/>
          </w:tcPr>
          <w:p>
            <w:pPr>
              <w:spacing w:before="20" w:after="20"/>
            </w:pPr>
            <w:r/>
            <w:r>
              <w:rPr>
                <w:rFonts w:ascii="Verdana" w:hAnsi="Verdana"/>
                <w:b w:val="0"/>
                <w:sz w:val="16"/>
              </w:rPr>
              <w:t>État du sol (recouvert ou non d'une couche de neige)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0 20 063</w:t>
            </w:r>
          </w:p>
        </w:tc>
        <w:tc>
          <w:tcPr>
            <w:tcW w:type="dxa" w:w="1514"/>
          </w:tcPr>
          <w:p>
            <w:pPr>
              <w:spacing w:before="20" w:after="20"/>
            </w:pPr>
            <w:r/>
            <w:r>
              <w:rPr>
                <w:rFonts w:ascii="Verdana" w:hAnsi="Verdana"/>
                <w:b w:val="0"/>
                <w:sz w:val="16"/>
              </w:rPr>
              <w:t>Phénomènes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0 20 065</w:t>
            </w:r>
          </w:p>
        </w:tc>
        <w:tc>
          <w:tcPr>
            <w:tcW w:type="dxa" w:w="1514"/>
          </w:tcPr>
          <w:p>
            <w:pPr>
              <w:spacing w:before="20" w:after="20"/>
            </w:pPr>
            <w:r/>
            <w:r>
              <w:rPr>
                <w:rFonts w:ascii="Verdana" w:hAnsi="Verdana"/>
                <w:b w:val="0"/>
                <w:sz w:val="16"/>
              </w:rPr>
              <w:t>Couverture neigeuse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120: L’enneigement est indiqué pour chaque pixel transmis par un satellite sous la forme d’un pourcentage de la couverture du pixel. Il semble impossible de pouvoir employer le descripteur existant 0 20 062 pour ce faire, car il faudrait alors fournir des détails supplémentaires (exemple: congères, neige mouillée ou sèche, etc.) que les instruments embarqués ne peuvent évidemment pas détecter avec précision.</w:t>
            </w:r>
          </w:p>
        </w:tc>
      </w:tr>
      <w:tr>
        <w:trPr>
          <w:cantSplit/>
        </w:trPr>
        <w:tc>
          <w:tcPr>
            <w:tcW w:type="dxa" w:w="1514"/>
          </w:tcPr>
          <w:p>
            <w:pPr>
              <w:spacing w:before="20" w:after="20"/>
            </w:pPr>
            <w:r/>
            <w:r>
              <w:rPr>
                <w:rFonts w:ascii="Verdana" w:hAnsi="Verdana"/>
                <w:b w:val="0"/>
                <w:sz w:val="16"/>
              </w:rPr>
              <w:t>0 20 066</w:t>
            </w:r>
          </w:p>
        </w:tc>
        <w:tc>
          <w:tcPr>
            <w:tcW w:type="dxa" w:w="1514"/>
          </w:tcPr>
          <w:p>
            <w:pPr>
              <w:spacing w:before="20" w:after="20"/>
            </w:pPr>
            <w:r/>
            <w:r>
              <w:rPr>
                <w:rFonts w:ascii="Verdana" w:hAnsi="Verdana"/>
                <w:b w:val="0"/>
                <w:sz w:val="16"/>
              </w:rPr>
              <w:t>Diamètre maximal des grelons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0 20 067</w:t>
            </w:r>
          </w:p>
        </w:tc>
        <w:tc>
          <w:tcPr>
            <w:tcW w:type="dxa" w:w="1514"/>
          </w:tcPr>
          <w:p>
            <w:pPr>
              <w:spacing w:before="20" w:after="20"/>
            </w:pPr>
            <w:r/>
            <w:r>
              <w:rPr>
                <w:rFonts w:ascii="Verdana" w:hAnsi="Verdana"/>
                <w:b w:val="0"/>
                <w:sz w:val="16"/>
              </w:rPr>
              <w:t>Diamètre du dépôt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0 20 070</w:t>
            </w:r>
          </w:p>
        </w:tc>
        <w:tc>
          <w:tcPr>
            <w:tcW w:type="dxa" w:w="1514"/>
          </w:tcPr>
          <w:p>
            <w:pPr>
              <w:spacing w:before="20" w:after="20"/>
            </w:pPr>
            <w:r/>
            <w:r>
              <w:rPr>
                <w:rFonts w:ascii="Verdana" w:hAnsi="Verdana"/>
                <w:b w:val="0"/>
                <w:sz w:val="16"/>
              </w:rPr>
              <w:t>Nombre minimal d'atmosphériques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0 20 071</w:t>
            </w:r>
          </w:p>
        </w:tc>
        <w:tc>
          <w:tcPr>
            <w:tcW w:type="dxa" w:w="1514"/>
          </w:tcPr>
          <w:p>
            <w:pPr>
              <w:spacing w:before="20" w:after="20"/>
            </w:pPr>
            <w:r/>
            <w:r>
              <w:rPr>
                <w:rFonts w:ascii="Verdana" w:hAnsi="Verdana"/>
                <w:b w:val="0"/>
                <w:sz w:val="16"/>
              </w:rPr>
              <w:t>Exactitude et taux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0 20 081</w:t>
            </w:r>
          </w:p>
        </w:tc>
        <w:tc>
          <w:tcPr>
            <w:tcW w:type="dxa" w:w="1514"/>
          </w:tcPr>
          <w:p>
            <w:pPr>
              <w:spacing w:before="20" w:after="20"/>
            </w:pPr>
            <w:r/>
            <w:r>
              <w:rPr>
                <w:rFonts w:ascii="Verdana" w:hAnsi="Verdana"/>
                <w:b w:val="0"/>
                <w:sz w:val="16"/>
              </w:rPr>
              <w:t>Étendue de la couche nuageuse dans le secteur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0 20 082</w:t>
            </w:r>
          </w:p>
        </w:tc>
        <w:tc>
          <w:tcPr>
            <w:tcW w:type="dxa" w:w="1514"/>
          </w:tcPr>
          <w:p>
            <w:pPr>
              <w:spacing w:before="20" w:after="20"/>
            </w:pPr>
            <w:r/>
            <w:r>
              <w:rPr>
                <w:rFonts w:ascii="Verdana" w:hAnsi="Verdana"/>
                <w:b w:val="0"/>
                <w:sz w:val="16"/>
              </w:rPr>
              <w:t>Partie du segment libre de nuages</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0 20 083</w:t>
            </w:r>
          </w:p>
        </w:tc>
        <w:tc>
          <w:tcPr>
            <w:tcW w:type="dxa" w:w="1514"/>
          </w:tcPr>
          <w:p>
            <w:pPr>
              <w:spacing w:before="20" w:after="20"/>
            </w:pPr>
            <w:r/>
            <w:r>
              <w:rPr>
                <w:rFonts w:ascii="Verdana" w:hAnsi="Verdana"/>
                <w:b w:val="0"/>
                <w:sz w:val="16"/>
              </w:rPr>
              <w:t>Partie du segment couverte par la scène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0 20 085</w:t>
            </w:r>
          </w:p>
        </w:tc>
        <w:tc>
          <w:tcPr>
            <w:tcW w:type="dxa" w:w="1514"/>
          </w:tcPr>
          <w:p>
            <w:pPr>
              <w:spacing w:before="20" w:after="20"/>
            </w:pPr>
            <w:r/>
            <w:r>
              <w:rPr>
                <w:rFonts w:ascii="Verdana" w:hAnsi="Verdana"/>
                <w:b w:val="0"/>
                <w:sz w:val="16"/>
              </w:rPr>
              <w:t>État général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0 20 086</w:t>
            </w:r>
          </w:p>
        </w:tc>
        <w:tc>
          <w:tcPr>
            <w:tcW w:type="dxa" w:w="1514"/>
          </w:tcPr>
          <w:p>
            <w:pPr>
              <w:spacing w:before="20" w:after="20"/>
            </w:pPr>
            <w:r/>
            <w:r>
              <w:rPr>
                <w:rFonts w:ascii="Verdana" w:hAnsi="Verdana"/>
                <w:b w:val="0"/>
                <w:sz w:val="16"/>
              </w:rPr>
              <w:t>Dépôts sur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0 20 087</w:t>
            </w:r>
          </w:p>
        </w:tc>
        <w:tc>
          <w:tcPr>
            <w:tcW w:type="dxa" w:w="1514"/>
          </w:tcPr>
          <w:p>
            <w:pPr>
              <w:spacing w:before="20" w:after="20"/>
            </w:pPr>
            <w:r/>
            <w:r>
              <w:rPr>
                <w:rFonts w:ascii="Verdana" w:hAnsi="Verdana"/>
                <w:b w:val="0"/>
                <w:sz w:val="16"/>
              </w:rPr>
              <w:t>Contamination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0 20 088</w:t>
            </w:r>
          </w:p>
        </w:tc>
        <w:tc>
          <w:tcPr>
            <w:tcW w:type="dxa" w:w="1514"/>
          </w:tcPr>
          <w:p>
            <w:pPr>
              <w:spacing w:before="20" w:after="20"/>
            </w:pPr>
            <w:r/>
            <w:r>
              <w:rPr>
                <w:rFonts w:ascii="Verdana" w:hAnsi="Verdana"/>
                <w:b w:val="0"/>
                <w:sz w:val="16"/>
              </w:rPr>
              <w:t>Épaisseur des dépôts sur la piste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0 20 089</w:t>
            </w:r>
          </w:p>
        </w:tc>
        <w:tc>
          <w:tcPr>
            <w:tcW w:type="dxa" w:w="1514"/>
          </w:tcPr>
          <w:p>
            <w:pPr>
              <w:spacing w:before="20" w:after="20"/>
            </w:pPr>
            <w:r/>
            <w:r>
              <w:rPr>
                <w:rFonts w:ascii="Verdana" w:hAnsi="Verdana"/>
                <w:b w:val="0"/>
                <w:sz w:val="16"/>
              </w:rPr>
              <w:t>Coefficient de frottement de la piste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0 20 090</w:t>
            </w:r>
          </w:p>
        </w:tc>
        <w:tc>
          <w:tcPr>
            <w:tcW w:type="dxa" w:w="1514"/>
          </w:tcPr>
          <w:p>
            <w:pPr>
              <w:spacing w:before="20" w:after="20"/>
            </w:pPr>
            <w:r/>
            <w:r>
              <w:rPr>
                <w:rFonts w:ascii="Verdana" w:hAnsi="Verdana"/>
                <w:b w:val="0"/>
                <w:sz w:val="16"/>
              </w:rPr>
              <w:t>Nuages spéciaux</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0 20 091</w:t>
            </w:r>
          </w:p>
        </w:tc>
        <w:tc>
          <w:tcPr>
            <w:tcW w:type="dxa" w:w="1514"/>
          </w:tcPr>
          <w:p>
            <w:pPr>
              <w:spacing w:before="20" w:after="20"/>
            </w:pPr>
            <w:r/>
            <w:r>
              <w:rPr>
                <w:rFonts w:ascii="Verdana" w:hAnsi="Verdana"/>
                <w:b w:val="0"/>
                <w:sz w:val="16"/>
              </w:rPr>
              <w:t>Visibilité verticale</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0 20 092</w:t>
            </w:r>
          </w:p>
        </w:tc>
        <w:tc>
          <w:tcPr>
            <w:tcW w:type="dxa" w:w="1514"/>
          </w:tcPr>
          <w:p>
            <w:pPr>
              <w:spacing w:before="20" w:after="20"/>
            </w:pPr>
            <w:r/>
            <w:r>
              <w:rPr>
                <w:rFonts w:ascii="Verdana" w:hAnsi="Verdana"/>
                <w:b w:val="0"/>
                <w:sz w:val="16"/>
              </w:rPr>
              <w:t>Hauteur de la base des nuages</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ft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0 20 093</w:t>
            </w:r>
          </w:p>
        </w:tc>
        <w:tc>
          <w:tcPr>
            <w:tcW w:type="dxa" w:w="1514"/>
          </w:tcPr>
          <w:p>
            <w:pPr>
              <w:spacing w:before="20" w:after="20"/>
            </w:pPr>
            <w:r/>
            <w:r>
              <w:rPr>
                <w:rFonts w:ascii="Verdana" w:hAnsi="Verdana"/>
                <w:b w:val="0"/>
                <w:sz w:val="16"/>
              </w:rPr>
              <w:t>Hauteur d'inversion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0 20 095</w:t>
            </w:r>
          </w:p>
        </w:tc>
        <w:tc>
          <w:tcPr>
            <w:tcW w:type="dxa" w:w="1514"/>
          </w:tcPr>
          <w:p>
            <w:pPr>
              <w:spacing w:before="20" w:after="20"/>
            </w:pPr>
            <w:r/>
            <w:r>
              <w:rPr>
                <w:rFonts w:ascii="Verdana" w:hAnsi="Verdana"/>
                <w:b w:val="0"/>
                <w:sz w:val="16"/>
              </w:rPr>
              <w:t>Probabilité de glace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0 20 096</w:t>
            </w:r>
          </w:p>
        </w:tc>
        <w:tc>
          <w:tcPr>
            <w:tcW w:type="dxa" w:w="1514"/>
          </w:tcPr>
          <w:p>
            <w:pPr>
              <w:spacing w:before="20" w:after="20"/>
            </w:pPr>
            <w:r/>
            <w:r>
              <w:rPr>
                <w:rFonts w:ascii="Verdana" w:hAnsi="Verdana"/>
                <w:b w:val="0"/>
                <w:sz w:val="16"/>
              </w:rPr>
              <w:t>Âge de la glace (paramètre A)</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-4096</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0 20 101</w:t>
            </w:r>
          </w:p>
        </w:tc>
        <w:tc>
          <w:tcPr>
            <w:tcW w:type="dxa" w:w="1514"/>
          </w:tcPr>
          <w:p>
            <w:pPr>
              <w:spacing w:before="20" w:after="20"/>
            </w:pPr>
            <w:r/>
            <w:r>
              <w:rPr>
                <w:rFonts w:ascii="Verdana" w:hAnsi="Verdana"/>
                <w:b w:val="0"/>
                <w:sz w:val="16"/>
              </w:rPr>
              <w:t>Nom de l'acridien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0 20 102</w:t>
            </w:r>
          </w:p>
        </w:tc>
        <w:tc>
          <w:tcPr>
            <w:tcW w:type="dxa" w:w="1514"/>
          </w:tcPr>
          <w:p>
            <w:pPr>
              <w:spacing w:before="20" w:after="20"/>
            </w:pPr>
            <w:r/>
            <w:r>
              <w:rPr>
                <w:rFonts w:ascii="Verdana" w:hAnsi="Verdana"/>
                <w:b w:val="0"/>
                <w:sz w:val="16"/>
              </w:rPr>
              <w:t>Couleur de l'acridien (maturité)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0 20 103</w:t>
            </w:r>
          </w:p>
        </w:tc>
        <w:tc>
          <w:tcPr>
            <w:tcW w:type="dxa" w:w="1514"/>
          </w:tcPr>
          <w:p>
            <w:pPr>
              <w:spacing w:before="20" w:after="20"/>
            </w:pPr>
            <w:r/>
            <w:r>
              <w:rPr>
                <w:rFonts w:ascii="Verdana" w:hAnsi="Verdana"/>
                <w:b w:val="0"/>
                <w:sz w:val="16"/>
              </w:rPr>
              <w:t>Stade de développement des 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0 20 104</w:t>
            </w:r>
          </w:p>
        </w:tc>
        <w:tc>
          <w:tcPr>
            <w:tcW w:type="dxa" w:w="1514"/>
          </w:tcPr>
          <w:p>
            <w:pPr>
              <w:spacing w:before="20" w:after="20"/>
            </w:pPr>
            <w:r/>
            <w:r>
              <w:rPr>
                <w:rFonts w:ascii="Verdana" w:hAnsi="Verdana"/>
                <w:b w:val="0"/>
                <w:sz w:val="16"/>
              </w:rPr>
              <w:t>Degré d'organisation de l'essaim ou de la bande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0 20 105</w:t>
            </w:r>
          </w:p>
        </w:tc>
        <w:tc>
          <w:tcPr>
            <w:tcW w:type="dxa" w:w="1514"/>
          </w:tcPr>
          <w:p>
            <w:pPr>
              <w:spacing w:before="20" w:after="20"/>
            </w:pPr>
            <w:r/>
            <w:r>
              <w:rPr>
                <w:rFonts w:ascii="Verdana" w:hAnsi="Verdana"/>
                <w:b w:val="0"/>
                <w:sz w:val="16"/>
              </w:rPr>
              <w:t>Dimension de l'essaim ou de la bande d'acridiens et durée du passage de l'essaim</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0 20 106</w:t>
            </w:r>
          </w:p>
        </w:tc>
        <w:tc>
          <w:tcPr>
            <w:tcW w:type="dxa" w:w="1514"/>
          </w:tcPr>
          <w:p>
            <w:pPr>
              <w:spacing w:before="20" w:after="20"/>
            </w:pPr>
            <w:r/>
            <w:r>
              <w:rPr>
                <w:rFonts w:ascii="Verdana" w:hAnsi="Verdana"/>
                <w:b w:val="0"/>
                <w:sz w:val="16"/>
              </w:rPr>
              <w:t>Densité de la population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0 20 107</w:t>
            </w:r>
          </w:p>
        </w:tc>
        <w:tc>
          <w:tcPr>
            <w:tcW w:type="dxa" w:w="1514"/>
          </w:tcPr>
          <w:p>
            <w:pPr>
              <w:spacing w:before="20" w:after="20"/>
            </w:pPr>
            <w:r/>
            <w:r>
              <w:rPr>
                <w:rFonts w:ascii="Verdana" w:hAnsi="Verdana"/>
                <w:b w:val="0"/>
                <w:sz w:val="16"/>
              </w:rPr>
              <w:t>Direction du déplacement de l'essaim d'acridiens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0 20 108</w:t>
            </w:r>
          </w:p>
        </w:tc>
        <w:tc>
          <w:tcPr>
            <w:tcW w:type="dxa" w:w="1514"/>
          </w:tcPr>
          <w:p>
            <w:pPr>
              <w:spacing w:before="20" w:after="20"/>
            </w:pPr>
            <w:r/>
            <w:r>
              <w:rPr>
                <w:rFonts w:ascii="Verdana" w:hAnsi="Verdana"/>
                <w:b w:val="0"/>
                <w:sz w:val="16"/>
              </w:rPr>
              <w:t>Étendue de la végétation</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0 20 111</w:t>
            </w:r>
          </w:p>
        </w:tc>
        <w:tc>
          <w:tcPr>
            <w:tcW w:type="dxa" w:w="1514"/>
          </w:tcPr>
          <w:p>
            <w:pPr>
              <w:spacing w:before="20" w:after="20"/>
            </w:pPr>
            <w:r/>
            <w:r>
              <w:rPr>
                <w:rFonts w:ascii="Verdana" w:hAnsi="Verdana"/>
                <w:b w:val="0"/>
                <w:sz w:val="16"/>
              </w:rPr>
              <w:t>Composante principale de l'ellipse d'erreur, axe 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0 20 112</w:t>
            </w:r>
          </w:p>
        </w:tc>
        <w:tc>
          <w:tcPr>
            <w:tcW w:type="dxa" w:w="1514"/>
          </w:tcPr>
          <w:p>
            <w:pPr>
              <w:spacing w:before="20" w:after="20"/>
            </w:pPr>
            <w:r/>
            <w:r>
              <w:rPr>
                <w:rFonts w:ascii="Verdana" w:hAnsi="Verdana"/>
                <w:b w:val="0"/>
                <w:sz w:val="16"/>
              </w:rPr>
              <w:t>Composante secondaire de l'ellipse d'erreur, axe y</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 | Note 90: Si x = y, il s’agit d’une erreur radiale et l’angle (voir 0 20 114) est égal à zéro.</w:t>
            </w:r>
          </w:p>
        </w:tc>
      </w:tr>
      <w:tr>
        <w:trPr>
          <w:cantSplit/>
        </w:trPr>
        <w:tc>
          <w:tcPr>
            <w:tcW w:type="dxa" w:w="1514"/>
          </w:tcPr>
          <w:p>
            <w:pPr>
              <w:spacing w:before="20" w:after="20"/>
            </w:pPr>
            <w:r/>
            <w:r>
              <w:rPr>
                <w:rFonts w:ascii="Verdana" w:hAnsi="Verdana"/>
                <w:b w:val="0"/>
                <w:sz w:val="16"/>
              </w:rPr>
              <w:t>0 20 113</w:t>
            </w:r>
          </w:p>
        </w:tc>
        <w:tc>
          <w:tcPr>
            <w:tcW w:type="dxa" w:w="1514"/>
          </w:tcPr>
          <w:p>
            <w:pPr>
              <w:spacing w:before="20" w:after="20"/>
            </w:pPr>
            <w:r/>
            <w:r>
              <w:rPr>
                <w:rFonts w:ascii="Verdana" w:hAnsi="Verdana"/>
                <w:b w:val="0"/>
                <w:sz w:val="16"/>
              </w:rPr>
              <w:t>Composante de l'ellipse d'erreur, axe z</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89: Si x = y = z, il s’agit d’une erreur sphérique et l’angle (voir 0 20 115) est égal à zéro.</w:t>
            </w:r>
          </w:p>
        </w:tc>
      </w:tr>
      <w:tr>
        <w:trPr>
          <w:cantSplit/>
        </w:trPr>
        <w:tc>
          <w:tcPr>
            <w:tcW w:type="dxa" w:w="1514"/>
          </w:tcPr>
          <w:p>
            <w:pPr>
              <w:spacing w:before="20" w:after="20"/>
            </w:pPr>
            <w:r/>
            <w:r>
              <w:rPr>
                <w:rFonts w:ascii="Verdana" w:hAnsi="Verdana"/>
                <w:b w:val="0"/>
                <w:sz w:val="16"/>
              </w:rPr>
              <w:t>0 20 114</w:t>
            </w:r>
          </w:p>
        </w:tc>
        <w:tc>
          <w:tcPr>
            <w:tcW w:type="dxa" w:w="1514"/>
          </w:tcPr>
          <w:p>
            <w:pPr>
              <w:spacing w:before="20" w:after="20"/>
            </w:pPr>
            <w:r/>
            <w:r>
              <w:rPr>
                <w:rFonts w:ascii="Verdana" w:hAnsi="Verdana"/>
                <w:b w:val="0"/>
                <w:sz w:val="16"/>
              </w:rPr>
              <w:t>Angle de l'axe x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31: Angle de l’erreur définie par 0 20 113 et 0 20 114. Cartésien avec bit de signe.</w:t>
            </w:r>
          </w:p>
        </w:tc>
      </w:tr>
      <w:tr>
        <w:trPr>
          <w:cantSplit/>
        </w:trPr>
        <w:tc>
          <w:tcPr>
            <w:tcW w:type="dxa" w:w="1514"/>
          </w:tcPr>
          <w:p>
            <w:pPr>
              <w:spacing w:before="20" w:after="20"/>
            </w:pPr>
            <w:r/>
            <w:r>
              <w:rPr>
                <w:rFonts w:ascii="Verdana" w:hAnsi="Verdana"/>
                <w:b w:val="0"/>
                <w:sz w:val="16"/>
              </w:rPr>
              <w:t>0 20 115</w:t>
            </w:r>
          </w:p>
        </w:tc>
        <w:tc>
          <w:tcPr>
            <w:tcW w:type="dxa" w:w="1514"/>
          </w:tcPr>
          <w:p>
            <w:pPr>
              <w:spacing w:before="20" w:after="20"/>
            </w:pPr>
            <w:r/>
            <w:r>
              <w:rPr>
                <w:rFonts w:ascii="Verdana" w:hAnsi="Verdana"/>
                <w:b w:val="0"/>
                <w:sz w:val="16"/>
              </w:rPr>
              <w:t>Angle de l'axe z dans l'ellipse d'erreur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-18000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w:t>
            </w:r>
          </w:p>
        </w:tc>
      </w:tr>
      <w:tr>
        <w:trPr>
          <w:cantSplit/>
        </w:trPr>
        <w:tc>
          <w:tcPr>
            <w:tcW w:type="dxa" w:w="1514"/>
          </w:tcPr>
          <w:p>
            <w:pPr>
              <w:spacing w:before="20" w:after="20"/>
            </w:pPr>
            <w:r/>
            <w:r>
              <w:rPr>
                <w:rFonts w:ascii="Verdana" w:hAnsi="Verdana"/>
                <w:b w:val="0"/>
                <w:sz w:val="16"/>
              </w:rPr>
              <w:t>0 20 116</w:t>
            </w:r>
          </w:p>
        </w:tc>
        <w:tc>
          <w:tcPr>
            <w:tcW w:type="dxa" w:w="1514"/>
          </w:tcPr>
          <w:p>
            <w:pPr>
              <w:spacing w:before="20" w:after="20"/>
            </w:pPr>
            <w:r/>
            <w:r>
              <w:rPr>
                <w:rFonts w:ascii="Verdana" w:hAnsi="Verdana"/>
                <w:b w:val="0"/>
                <w:sz w:val="16"/>
              </w:rPr>
              <w:t>Altitude d'émission de la décharge interne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0 20 117</w:t>
            </w:r>
          </w:p>
        </w:tc>
        <w:tc>
          <w:tcPr>
            <w:tcW w:type="dxa" w:w="1514"/>
          </w:tcPr>
          <w:p>
            <w:pPr>
              <w:spacing w:before="20" w:after="20"/>
            </w:pPr>
            <w:r/>
            <w:r>
              <w:rPr>
                <w:rFonts w:ascii="Verdana" w:hAnsi="Verdana"/>
                <w:b w:val="0"/>
                <w:sz w:val="16"/>
              </w:rPr>
              <w:t>Amplitude de l'éclair</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-32000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0 20 118</w:t>
            </w:r>
          </w:p>
        </w:tc>
        <w:tc>
          <w:tcPr>
            <w:tcW w:type="dxa" w:w="1514"/>
          </w:tcPr>
          <w:p>
            <w:pPr>
              <w:spacing w:before="20" w:after="20"/>
            </w:pPr>
            <w:r/>
            <w:r>
              <w:rPr>
                <w:rFonts w:ascii="Verdana" w:hAnsi="Verdana"/>
                <w:b w:val="0"/>
                <w:sz w:val="16"/>
              </w:rPr>
              <w:t>Erreur de détection de l'éclair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0 20 119</w:t>
            </w:r>
          </w:p>
        </w:tc>
        <w:tc>
          <w:tcPr>
            <w:tcW w:type="dxa" w:w="1514"/>
          </w:tcPr>
          <w:p>
            <w:pPr>
              <w:spacing w:before="20" w:after="20"/>
            </w:pPr>
            <w:r/>
            <w:r>
              <w:rPr>
                <w:rFonts w:ascii="Verdana" w:hAnsi="Verdana"/>
                <w:b w:val="0"/>
                <w:sz w:val="16"/>
              </w:rPr>
              <w:t>Polarité de décharge des éclairs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0 20 121</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9: La date et l’heure du lâcher indiquent la date et l’heure du début des mesures à la descente.</w:t>
            </w:r>
          </w:p>
        </w:tc>
      </w:tr>
      <w:tr>
        <w:trPr>
          <w:cantSplit/>
        </w:trPr>
        <w:tc>
          <w:tcPr>
            <w:tcW w:type="dxa" w:w="1514"/>
          </w:tcPr>
          <w:p>
            <w:pPr>
              <w:spacing w:before="20" w:after="20"/>
            </w:pPr>
            <w:r/>
            <w:r>
              <w:rPr>
                <w:rFonts w:ascii="Verdana" w:hAnsi="Verdana"/>
                <w:b w:val="0"/>
                <w:sz w:val="16"/>
              </w:rPr>
              <w:t>0 20 122</w:t>
            </w:r>
          </w:p>
        </w:tc>
        <w:tc>
          <w:tcPr>
            <w:tcW w:type="dxa" w:w="1514"/>
          </w:tcPr>
          <w:p>
            <w:pPr>
              <w:spacing w:before="20" w:after="20"/>
            </w:pPr>
            <w:r/>
            <w:r>
              <w:rPr>
                <w:rFonts w:ascii="Verdana" w:hAnsi="Verdana"/>
                <w:b w:val="0"/>
                <w:sz w:val="16"/>
              </w:rPr>
              <w:t>Valeur seuil pour la décision de polarité</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tc>
      </w:tr>
      <w:tr>
        <w:trPr>
          <w:cantSplit/>
        </w:trPr>
        <w:tc>
          <w:tcPr>
            <w:tcW w:type="dxa" w:w="1514"/>
          </w:tcPr>
          <w:p>
            <w:pPr>
              <w:spacing w:before="20" w:after="20"/>
            </w:pPr>
            <w:r/>
            <w:r>
              <w:rPr>
                <w:rFonts w:ascii="Verdana" w:hAnsi="Verdana"/>
                <w:b w:val="0"/>
                <w:sz w:val="16"/>
              </w:rPr>
              <w:t>0 20 123</w:t>
            </w:r>
          </w:p>
        </w:tc>
        <w:tc>
          <w:tcPr>
            <w:tcW w:type="dxa" w:w="1514"/>
          </w:tcPr>
          <w:p>
            <w:pPr>
              <w:spacing w:before="20" w:after="20"/>
            </w:pPr>
            <w:r/>
            <w:r>
              <w:rPr>
                <w:rFonts w:ascii="Verdana" w:hAnsi="Verdana"/>
                <w:b w:val="0"/>
                <w:sz w:val="16"/>
              </w:rPr>
              <w:t>Seuil minimum de détection</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V/m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102: Niveau de signal minimal pour le traitement, par exemple 0,005 V ou 5 mV, ou valeur d’ordinaire située juste au-dessus du plancher de bruit du détecteur.</w:t>
            </w:r>
          </w:p>
        </w:tc>
      </w:tr>
      <w:tr>
        <w:trPr>
          <w:cantSplit/>
        </w:trPr>
        <w:tc>
          <w:tcPr>
            <w:tcW w:type="dxa" w:w="1514"/>
          </w:tcPr>
          <w:p>
            <w:pPr>
              <w:spacing w:before="20" w:after="20"/>
            </w:pPr>
            <w:r/>
            <w:r>
              <w:rPr>
                <w:rFonts w:ascii="Verdana" w:hAnsi="Verdana"/>
                <w:b w:val="0"/>
                <w:sz w:val="16"/>
              </w:rPr>
              <w:t>0 20 124</w:t>
            </w:r>
          </w:p>
        </w:tc>
        <w:tc>
          <w:tcPr>
            <w:tcW w:type="dxa" w:w="1514"/>
          </w:tcPr>
          <w:p>
            <w:pPr>
              <w:spacing w:before="20" w:after="20"/>
            </w:pPr>
            <w:r/>
            <w:r>
              <w:rPr>
                <w:rFonts w:ascii="Verdana" w:hAnsi="Verdana"/>
                <w:b w:val="0"/>
                <w:sz w:val="16"/>
              </w:rPr>
              <w:t>Coup de foudre ou éclair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0 20 126</w:t>
            </w:r>
          </w:p>
        </w:tc>
        <w:tc>
          <w:tcPr>
            <w:tcW w:type="dxa" w:w="1514"/>
          </w:tcPr>
          <w:p>
            <w:pPr>
              <w:spacing w:before="20" w:after="20"/>
            </w:pPr>
            <w:r/>
            <w:r>
              <w:rPr>
                <w:rFonts w:ascii="Verdana" w:hAnsi="Verdana"/>
                <w:b w:val="0"/>
                <w:sz w:val="16"/>
              </w:rPr>
              <w:t>Fréquence de décharge des éclairs</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0 20 127</w:t>
            </w:r>
          </w:p>
        </w:tc>
        <w:tc>
          <w:tcPr>
            <w:tcW w:type="dxa" w:w="1514"/>
          </w:tcPr>
          <w:p>
            <w:pPr>
              <w:spacing w:before="20" w:after="20"/>
            </w:pPr>
            <w:r/>
            <w:r>
              <w:rPr>
                <w:rFonts w:ascii="Verdana" w:hAnsi="Verdana"/>
                <w:b w:val="0"/>
                <w:sz w:val="16"/>
              </w:rPr>
              <w:t>Éclairs - distance par rapport à la station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0 20 128</w:t>
            </w:r>
          </w:p>
        </w:tc>
        <w:tc>
          <w:tcPr>
            <w:tcW w:type="dxa" w:w="1514"/>
          </w:tcPr>
          <w:p>
            <w:pPr>
              <w:spacing w:before="20" w:after="20"/>
            </w:pPr>
            <w:r/>
            <w:r>
              <w:rPr>
                <w:rFonts w:ascii="Verdana" w:hAnsi="Verdana"/>
                <w:b w:val="0"/>
                <w:sz w:val="16"/>
              </w:rPr>
              <w:t>Éclairs - direction par rapport à la station</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degré vrai</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0 20 129</w:t>
            </w:r>
          </w:p>
        </w:tc>
        <w:tc>
          <w:tcPr>
            <w:tcW w:type="dxa" w:w="1514"/>
          </w:tcPr>
          <w:p>
            <w:pPr>
              <w:spacing w:before="20" w:after="20"/>
            </w:pPr>
            <w:r/>
            <w:r>
              <w:rPr>
                <w:rFonts w:ascii="Verdana" w:hAnsi="Verdana"/>
                <w:b w:val="0"/>
                <w:sz w:val="16"/>
              </w:rPr>
              <w:t>Densité de la foudre (arc, éclair ou phénomène)</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0 20 130</w:t>
            </w:r>
          </w:p>
        </w:tc>
        <w:tc>
          <w:tcPr>
            <w:tcW w:type="dxa" w:w="1514"/>
          </w:tcPr>
          <w:p>
            <w:pPr>
              <w:spacing w:before="20" w:after="20"/>
            </w:pPr>
            <w:r/>
            <w:r>
              <w:rPr>
                <w:rFonts w:ascii="Verdana" w:hAnsi="Verdana"/>
                <w:b w:val="0"/>
                <w:sz w:val="16"/>
              </w:rPr>
              <w:t>Concentration d'hydrométéores nuageux</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37: La concentration d’hydrométéores nuageux (0 20 130) représente le nombre d’hydrométéores dans un volume de 1 dm 3 .</w:t>
            </w:r>
          </w:p>
        </w:tc>
      </w:tr>
      <w:tr>
        <w:trPr>
          <w:cantSplit/>
        </w:trPr>
        <w:tc>
          <w:tcPr>
            <w:tcW w:type="dxa" w:w="1514"/>
          </w:tcPr>
          <w:p>
            <w:pPr>
              <w:spacing w:before="20" w:after="20"/>
            </w:pPr>
            <w:r/>
            <w:r>
              <w:rPr>
                <w:rFonts w:ascii="Verdana" w:hAnsi="Verdana"/>
                <w:b w:val="0"/>
                <w:sz w:val="16"/>
              </w:rPr>
              <w:t>0 20 131</w:t>
            </w:r>
          </w:p>
        </w:tc>
        <w:tc>
          <w:tcPr>
            <w:tcW w:type="dxa" w:w="1514"/>
          </w:tcPr>
          <w:p>
            <w:pPr>
              <w:spacing w:before="20" w:after="20"/>
            </w:pPr>
            <w:r/>
            <w:r>
              <w:rPr>
                <w:rFonts w:ascii="Verdana" w:hAnsi="Verdana"/>
                <w:b w:val="0"/>
                <w:sz w:val="16"/>
              </w:rPr>
              <w:t>Rayon effectif des hydrométéores nuageux</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0 20 132</w:t>
            </w:r>
          </w:p>
        </w:tc>
        <w:tc>
          <w:tcPr>
            <w:tcW w:type="dxa" w:w="1514"/>
          </w:tcPr>
          <w:p>
            <w:pPr>
              <w:spacing w:before="20" w:after="20"/>
            </w:pPr>
            <w:r/>
            <w:r>
              <w:rPr>
                <w:rFonts w:ascii="Verdana" w:hAnsi="Verdana"/>
                <w:b w:val="0"/>
                <w:sz w:val="16"/>
              </w:rPr>
              <w:t>Teneur en eau liquide des nuages</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kg m</w:t>
            </w:r>
            <w:r>
              <w:rPr>
                <w:rFonts w:ascii="Verdana" w:hAnsi="Verdana"/>
                <w:sz w:val="16"/>
                <w:vertAlign w:val="superscript"/>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0 20 133</w:t>
            </w:r>
          </w:p>
        </w:tc>
        <w:tc>
          <w:tcPr>
            <w:tcW w:type="dxa" w:w="1514"/>
          </w:tcPr>
          <w:p>
            <w:pPr>
              <w:spacing w:before="20" w:after="20"/>
            </w:pPr>
            <w:r/>
            <w:r>
              <w:rPr>
                <w:rFonts w:ascii="Verdana" w:hAnsi="Verdana"/>
                <w:b w:val="0"/>
                <w:sz w:val="16"/>
              </w:rPr>
              <w:t>Rayon de l'hydrométéore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0 20 135</w:t>
            </w:r>
          </w:p>
        </w:tc>
        <w:tc>
          <w:tcPr>
            <w:tcW w:type="dxa" w:w="1514"/>
          </w:tcPr>
          <w:p>
            <w:pPr>
              <w:spacing w:before="20" w:after="20"/>
            </w:pPr>
            <w:r/>
            <w:r>
              <w:rPr>
                <w:rFonts w:ascii="Verdana" w:hAnsi="Verdana"/>
                <w:b w:val="0"/>
                <w:sz w:val="16"/>
              </w:rPr>
              <w:t>Masse de glace (sur une perche)</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kg/m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0 20 136</w:t>
            </w:r>
          </w:p>
        </w:tc>
        <w:tc>
          <w:tcPr>
            <w:tcW w:type="dxa" w:w="1514"/>
          </w:tcPr>
          <w:p>
            <w:pPr>
              <w:spacing w:before="20" w:after="20"/>
            </w:pPr>
            <w:r/>
            <w:r>
              <w:rPr>
                <w:rFonts w:ascii="Verdana" w:hAnsi="Verdana"/>
                <w:b w:val="0"/>
                <w:sz w:val="16"/>
              </w:rPr>
              <w:t>Types de nuages supplémentaires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0 20 137</w:t>
            </w:r>
          </w:p>
        </w:tc>
        <w:tc>
          <w:tcPr>
            <w:tcW w:type="dxa" w:w="1514"/>
          </w:tcPr>
          <w:p>
            <w:pPr>
              <w:spacing w:before="20" w:after="20"/>
            </w:pPr>
            <w:r/>
            <w:r>
              <w:rPr>
                <w:rFonts w:ascii="Verdana" w:hAnsi="Verdana"/>
                <w:b w:val="0"/>
                <w:sz w:val="16"/>
              </w:rPr>
              <w:t>Évolution des nuages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0 20 138</w:t>
            </w:r>
          </w:p>
        </w:tc>
        <w:tc>
          <w:tcPr>
            <w:tcW w:type="dxa" w:w="1514"/>
          </w:tcPr>
          <w:p>
            <w:pPr>
              <w:spacing w:before="20" w:after="20"/>
            </w:pPr>
            <w:r/>
            <w:r>
              <w:rPr>
                <w:rFonts w:ascii="Verdana" w:hAnsi="Verdana"/>
                <w:b w:val="0"/>
                <w:sz w:val="16"/>
              </w:rPr>
              <w:t>État du revêtement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