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21 : Données de radar</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0 21 001</w:t>
            </w:r>
          </w:p>
        </w:tc>
        <w:tc>
          <w:tcPr>
            <w:tcW w:type="dxa" w:w="1514"/>
          </w:tcPr>
          <w:p>
            <w:pPr>
              <w:spacing w:before="20" w:after="20"/>
            </w:pPr>
            <w:r/>
            <w:r>
              <w:rPr>
                <w:rFonts w:ascii="Verdana" w:hAnsi="Verdana"/>
                <w:b w:val="0"/>
                <w:sz w:val="16"/>
              </w:rPr>
              <w:t>Réflectivité horizontale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0 21 002</w:t>
            </w:r>
          </w:p>
        </w:tc>
        <w:tc>
          <w:tcPr>
            <w:tcW w:type="dxa" w:w="1514"/>
          </w:tcPr>
          <w:p>
            <w:pPr>
              <w:spacing w:before="20" w:after="20"/>
            </w:pPr>
            <w:r/>
            <w:r>
              <w:rPr>
                <w:rFonts w:ascii="Verdana" w:hAnsi="Verdana"/>
                <w:b w:val="0"/>
                <w:sz w:val="16"/>
              </w:rPr>
              <w:t>Réflectivité verticale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0 21 003</w:t>
            </w:r>
          </w:p>
        </w:tc>
        <w:tc>
          <w:tcPr>
            <w:tcW w:type="dxa" w:w="1514"/>
          </w:tcPr>
          <w:p>
            <w:pPr>
              <w:spacing w:before="20" w:after="20"/>
            </w:pPr>
            <w:r/>
            <w:r>
              <w:rPr>
                <w:rFonts w:ascii="Verdana" w:hAnsi="Verdana"/>
                <w:b w:val="0"/>
                <w:sz w:val="16"/>
              </w:rPr>
              <w:t>Réflectivité différentielle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0 21 004</w:t>
            </w:r>
          </w:p>
        </w:tc>
        <w:tc>
          <w:tcPr>
            <w:tcW w:type="dxa" w:w="1514"/>
          </w:tcPr>
          <w:p>
            <w:pPr>
              <w:spacing w:before="20" w:after="20"/>
            </w:pPr>
            <w:r/>
            <w:r>
              <w:rPr>
                <w:rFonts w:ascii="Verdana" w:hAnsi="Verdana"/>
                <w:b w:val="0"/>
                <w:sz w:val="16"/>
              </w:rPr>
              <w:t>Réflectivité différentielle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0 21 005</w:t>
            </w:r>
          </w:p>
        </w:tc>
        <w:tc>
          <w:tcPr>
            <w:tcW w:type="dxa" w:w="1514"/>
          </w:tcPr>
          <w:p>
            <w:pPr>
              <w:spacing w:before="20" w:after="20"/>
            </w:pPr>
            <w:r/>
            <w:r>
              <w:rPr>
                <w:rFonts w:ascii="Verdana" w:hAnsi="Verdana"/>
                <w:b w:val="0"/>
                <w:sz w:val="16"/>
              </w:rPr>
              <w:t>Rapport de dépolarisation rectiligne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0 21 006</w:t>
            </w:r>
          </w:p>
        </w:tc>
        <w:tc>
          <w:tcPr>
            <w:tcW w:type="dxa" w:w="1514"/>
          </w:tcPr>
          <w:p>
            <w:pPr>
              <w:spacing w:before="20" w:after="20"/>
            </w:pPr>
            <w:r/>
            <w:r>
              <w:rPr>
                <w:rFonts w:ascii="Verdana" w:hAnsi="Verdana"/>
                <w:b w:val="0"/>
                <w:sz w:val="16"/>
              </w:rPr>
              <w:t>Rapport de dépolarisation circulaire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0 21 011</w:t>
            </w:r>
          </w:p>
        </w:tc>
        <w:tc>
          <w:tcPr>
            <w:tcW w:type="dxa" w:w="1514"/>
          </w:tcPr>
          <w:p>
            <w:pPr>
              <w:spacing w:before="20" w:after="20"/>
            </w:pPr>
            <w:r/>
            <w:r>
              <w:rPr>
                <w:rFonts w:ascii="Verdana" w:hAnsi="Verdana"/>
                <w:b w:val="0"/>
                <w:sz w:val="16"/>
              </w:rPr>
              <w:t>Vitesse Doppler moyenne dans la direction x</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0 21 012</w:t>
            </w:r>
          </w:p>
        </w:tc>
        <w:tc>
          <w:tcPr>
            <w:tcW w:type="dxa" w:w="1514"/>
          </w:tcPr>
          <w:p>
            <w:pPr>
              <w:spacing w:before="20" w:after="20"/>
            </w:pPr>
            <w:r/>
            <w:r>
              <w:rPr>
                <w:rFonts w:ascii="Verdana" w:hAnsi="Verdana"/>
                <w:b w:val="0"/>
                <w:sz w:val="16"/>
              </w:rPr>
              <w:t>Vitesse Doppler moyenne dans la direction y</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0 21 013</w:t>
            </w:r>
          </w:p>
        </w:tc>
        <w:tc>
          <w:tcPr>
            <w:tcW w:type="dxa" w:w="1514"/>
          </w:tcPr>
          <w:p>
            <w:pPr>
              <w:spacing w:before="20" w:after="20"/>
            </w:pPr>
            <w:r/>
            <w:r>
              <w:rPr>
                <w:rFonts w:ascii="Verdana" w:hAnsi="Verdana"/>
                <w:b w:val="0"/>
                <w:sz w:val="16"/>
              </w:rPr>
              <w:t>Vitesse Doppler moyenne dans la direction z</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0 21 014</w:t>
            </w:r>
          </w:p>
        </w:tc>
        <w:tc>
          <w:tcPr>
            <w:tcW w:type="dxa" w:w="1514"/>
          </w:tcPr>
          <w:p>
            <w:pPr>
              <w:spacing w:before="20" w:after="20"/>
            </w:pPr>
            <w:r/>
            <w:r>
              <w:rPr>
                <w:rFonts w:ascii="Verdana" w:hAnsi="Verdana"/>
                <w:b w:val="0"/>
                <w:sz w:val="16"/>
              </w:rPr>
              <w:t>Vitesse Doppler moyenne (radiale)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0 21 017</w:t>
            </w:r>
          </w:p>
        </w:tc>
        <w:tc>
          <w:tcPr>
            <w:tcW w:type="dxa" w:w="1514"/>
          </w:tcPr>
          <w:p>
            <w:pPr>
              <w:spacing w:before="20" w:after="20"/>
            </w:pPr>
            <w:r/>
            <w:r>
              <w:rPr>
                <w:rFonts w:ascii="Verdana" w:hAnsi="Verdana"/>
                <w:b w:val="0"/>
                <w:sz w:val="16"/>
              </w:rPr>
              <w:t>Largeur spectrale de la vitesse Doppler</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0 21 018</w:t>
            </w:r>
          </w:p>
        </w:tc>
        <w:tc>
          <w:tcPr>
            <w:tcW w:type="dxa" w:w="1514"/>
          </w:tcPr>
          <w:p>
            <w:pPr>
              <w:spacing w:before="20" w:after="20"/>
            </w:pPr>
            <w:r/>
            <w:r>
              <w:rPr>
                <w:rFonts w:ascii="Verdana" w:hAnsi="Verdana"/>
                <w:b w:val="0"/>
                <w:sz w:val="16"/>
              </w:rPr>
              <w:t>Vitesse en dehors de l'intervalle de NYQUIST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0 21 019</w:t>
            </w:r>
          </w:p>
        </w:tc>
        <w:tc>
          <w:tcPr>
            <w:tcW w:type="dxa" w:w="1514"/>
          </w:tcPr>
          <w:p>
            <w:pPr>
              <w:spacing w:before="20" w:after="20"/>
            </w:pPr>
            <w:r/>
            <w:r>
              <w:rPr>
                <w:rFonts w:ascii="Verdana" w:hAnsi="Verdana"/>
                <w:b w:val="0"/>
                <w:sz w:val="16"/>
              </w:rPr>
              <w:t>Vitesse en haut de l'intervalle de NYQUIST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0 21 021</w:t>
            </w:r>
          </w:p>
        </w:tc>
        <w:tc>
          <w:tcPr>
            <w:tcW w:type="dxa" w:w="1514"/>
          </w:tcPr>
          <w:p>
            <w:pPr>
              <w:spacing w:before="20" w:after="20"/>
            </w:pPr>
            <w:r/>
            <w:r>
              <w:rPr>
                <w:rFonts w:ascii="Verdana" w:hAnsi="Verdana"/>
                <w:b w:val="0"/>
                <w:sz w:val="16"/>
              </w:rPr>
              <w:t>Altitude maximale des échos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0 21 022</w:t>
            </w:r>
          </w:p>
        </w:tc>
        <w:tc>
          <w:tcPr>
            <w:tcW w:type="dxa" w:w="1514"/>
          </w:tcPr>
          <w:p>
            <w:pPr>
              <w:spacing w:before="20" w:after="20"/>
            </w:pPr>
            <w:r/>
            <w:r>
              <w:rPr>
                <w:rFonts w:ascii="Verdana" w:hAnsi="Verdana"/>
                <w:b w:val="0"/>
                <w:sz w:val="16"/>
              </w:rPr>
              <w:t>Décalage des cellules de distance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0 21 023</w:t>
            </w:r>
          </w:p>
        </w:tc>
        <w:tc>
          <w:tcPr>
            <w:tcW w:type="dxa" w:w="1514"/>
          </w:tcPr>
          <w:p>
            <w:pPr>
              <w:spacing w:before="20" w:after="20"/>
            </w:pPr>
            <w:r/>
            <w:r>
              <w:rPr>
                <w:rFonts w:ascii="Verdana" w:hAnsi="Verdana"/>
                <w:b w:val="0"/>
                <w:sz w:val="16"/>
              </w:rPr>
              <w:t>Taille des cellules de distance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0 21 024</w:t>
            </w:r>
          </w:p>
        </w:tc>
        <w:tc>
          <w:tcPr>
            <w:tcW w:type="dxa" w:w="1514"/>
          </w:tcPr>
          <w:p>
            <w:pPr>
              <w:spacing w:before="20" w:after="20"/>
            </w:pPr>
            <w:r/>
            <w:r>
              <w:rPr>
                <w:rFonts w:ascii="Verdana" w:hAnsi="Verdana"/>
                <w:b w:val="0"/>
                <w:sz w:val="16"/>
              </w:rPr>
              <w:t>Décalage d'azimut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0 21 025</w:t>
            </w:r>
          </w:p>
        </w:tc>
        <w:tc>
          <w:tcPr>
            <w:tcW w:type="dxa" w:w="1514"/>
          </w:tcPr>
          <w:p>
            <w:pPr>
              <w:spacing w:before="20" w:after="20"/>
            </w:pPr>
            <w:r/>
            <w:r>
              <w:rPr>
                <w:rFonts w:ascii="Verdana" w:hAnsi="Verdana"/>
                <w:b w:val="0"/>
                <w:sz w:val="16"/>
              </w:rPr>
              <w:t>Résolution azimutale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0 21 028</w:t>
            </w:r>
          </w:p>
        </w:tc>
        <w:tc>
          <w:tcPr>
            <w:tcW w:type="dxa" w:w="1514"/>
          </w:tcPr>
          <w:p>
            <w:pPr>
              <w:spacing w:before="20" w:after="20"/>
            </w:pPr>
            <w:r/>
            <w:r>
              <w:rPr>
                <w:rFonts w:ascii="Verdana" w:hAnsi="Verdana"/>
                <w:b w:val="0"/>
                <w:sz w:val="16"/>
              </w:rPr>
              <w:t>Phase différentielle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0 21 029</w:t>
            </w:r>
          </w:p>
        </w:tc>
        <w:tc>
          <w:tcPr>
            <w:tcW w:type="dxa" w:w="1514"/>
          </w:tcPr>
          <w:p>
            <w:pPr>
              <w:spacing w:before="20" w:after="20"/>
            </w:pPr>
            <w:r/>
            <w:r>
              <w:rPr>
                <w:rFonts w:ascii="Verdana" w:hAnsi="Verdana"/>
                <w:b w:val="0"/>
                <w:sz w:val="16"/>
              </w:rPr>
              <w:t>Coefficient de corrélation de polarisation croisée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0 21 030</w:t>
            </w:r>
          </w:p>
        </w:tc>
        <w:tc>
          <w:tcPr>
            <w:tcW w:type="dxa" w:w="1514"/>
          </w:tcPr>
          <w:p>
            <w:pPr>
              <w:spacing w:before="20" w:after="20"/>
            </w:pPr>
            <w:r/>
            <w:r>
              <w:rPr>
                <w:rFonts w:ascii="Verdana" w:hAnsi="Verdana"/>
                <w:b w:val="0"/>
                <w:sz w:val="16"/>
              </w:rPr>
              <w:t>Rapport signal-bruit</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0 21 031</w:t>
            </w:r>
          </w:p>
        </w:tc>
        <w:tc>
          <w:tcPr>
            <w:tcW w:type="dxa" w:w="1514"/>
          </w:tcPr>
          <w:p>
            <w:pPr>
              <w:spacing w:before="20" w:after="20"/>
            </w:pPr>
            <w:r/>
            <w:r>
              <w:rPr>
                <w:rFonts w:ascii="Verdana" w:hAnsi="Verdana"/>
                <w:b w:val="0"/>
                <w:sz w:val="16"/>
              </w:rPr>
              <w:t>Contenu en eau liquide, intégré verticalement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0 21 036</w:t>
            </w:r>
          </w:p>
        </w:tc>
        <w:tc>
          <w:tcPr>
            <w:tcW w:type="dxa" w:w="1514"/>
          </w:tcPr>
          <w:p>
            <w:pPr>
              <w:spacing w:before="20" w:after="20"/>
            </w:pPr>
            <w:r/>
            <w:r>
              <w:rPr>
                <w:rFonts w:ascii="Verdana" w:hAnsi="Verdana"/>
                <w:b w:val="0"/>
                <w:sz w:val="16"/>
              </w:rPr>
              <w:t>Intensité des précipitations mesurée par radar</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0 21 041</w:t>
            </w:r>
          </w:p>
        </w:tc>
        <w:tc>
          <w:tcPr>
            <w:tcW w:type="dxa" w:w="1514"/>
          </w:tcPr>
          <w:p>
            <w:pPr>
              <w:spacing w:before="20" w:after="20"/>
            </w:pPr>
            <w:r/>
            <w:r>
              <w:rPr>
                <w:rFonts w:ascii="Verdana" w:hAnsi="Verdana"/>
                <w:b w:val="0"/>
                <w:sz w:val="16"/>
              </w:rPr>
              <w:t>Hauteur de la bande brillante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0 21 051</w:t>
            </w:r>
          </w:p>
        </w:tc>
        <w:tc>
          <w:tcPr>
            <w:tcW w:type="dxa" w:w="1514"/>
          </w:tcPr>
          <w:p>
            <w:pPr>
              <w:spacing w:before="20" w:after="20"/>
            </w:pPr>
            <w:r/>
            <w:r>
              <w:rPr>
                <w:rFonts w:ascii="Verdana" w:hAnsi="Verdana"/>
                <w:b w:val="0"/>
                <w:sz w:val="16"/>
              </w:rPr>
              <w:t>Puissance du signal supérieure à 1 mW</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0 21 062</w:t>
            </w:r>
          </w:p>
        </w:tc>
        <w:tc>
          <w:tcPr>
            <w:tcW w:type="dxa" w:w="1514"/>
          </w:tcPr>
          <w:p>
            <w:pPr>
              <w:spacing w:before="20" w:after="20"/>
            </w:pPr>
            <w:r/>
            <w:r>
              <w:rPr>
                <w:rFonts w:ascii="Verdana" w:hAnsi="Verdana"/>
                <w:b w:val="0"/>
                <w:sz w:val="16"/>
              </w:rPr>
              <w:t>Rétrodiffusion</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0 21 063</w:t>
            </w:r>
          </w:p>
        </w:tc>
        <w:tc>
          <w:tcPr>
            <w:tcW w:type="dxa" w:w="1514"/>
          </w:tcPr>
          <w:p>
            <w:pPr>
              <w:spacing w:before="20" w:after="20"/>
            </w:pPr>
            <w:r/>
            <w:r>
              <w:rPr>
                <w:rFonts w:ascii="Verdana" w:hAnsi="Verdana"/>
                <w:b w:val="0"/>
                <w:sz w:val="16"/>
              </w:rPr>
              <w:t>Résolution radiométrique (valeur de bruit)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0 21 064</w:t>
            </w:r>
          </w:p>
        </w:tc>
        <w:tc>
          <w:tcPr>
            <w:tcW w:type="dxa" w:w="1514"/>
          </w:tcPr>
          <w:p>
            <w:pPr>
              <w:spacing w:before="20" w:after="20"/>
            </w:pPr>
            <w:r/>
            <w:r>
              <w:rPr>
                <w:rFonts w:ascii="Verdana" w:hAnsi="Verdana"/>
                <w:b w:val="0"/>
                <w:sz w:val="16"/>
              </w:rPr>
              <w:t>Estimation des bruits parasites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0 21 065</w:t>
            </w:r>
          </w:p>
        </w:tc>
        <w:tc>
          <w:tcPr>
            <w:tcW w:type="dxa" w:w="1514"/>
          </w:tcPr>
          <w:p>
            <w:pPr>
              <w:spacing w:before="20" w:after="20"/>
            </w:pPr>
            <w:r/>
            <w:r>
              <w:rPr>
                <w:rFonts w:ascii="Verdana" w:hAnsi="Verdana"/>
                <w:b w:val="0"/>
                <w:sz w:val="16"/>
              </w:rPr>
              <w:t>Totalisateur de paquets manquants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0 21 066</w:t>
            </w:r>
          </w:p>
        </w:tc>
        <w:tc>
          <w:tcPr>
            <w:tcW w:type="dxa" w:w="1514"/>
          </w:tcPr>
          <w:p>
            <w:pPr>
              <w:spacing w:before="20" w:after="20"/>
            </w:pPr>
            <w:r/>
            <w:r>
              <w:rPr>
                <w:rFonts w:ascii="Verdana" w:hAnsi="Verdana"/>
                <w:b w:val="0"/>
                <w:sz w:val="16"/>
              </w:rPr>
              <w:t>Données sur le degré de confiance du produit SAR mode vague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0 21 067</w:t>
            </w:r>
          </w:p>
        </w:tc>
        <w:tc>
          <w:tcPr>
            <w:tcW w:type="dxa" w:w="1514"/>
          </w:tcPr>
          <w:p>
            <w:pPr>
              <w:spacing w:before="20" w:after="20"/>
            </w:pPr>
            <w:r/>
            <w:r>
              <w:rPr>
                <w:rFonts w:ascii="Verdana" w:hAnsi="Verdana"/>
                <w:b w:val="0"/>
                <w:sz w:val="16"/>
              </w:rPr>
              <w:t>Données sur le degré de confiance du produit concernant le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0 21 068</w:t>
            </w:r>
          </w:p>
        </w:tc>
        <w:tc>
          <w:tcPr>
            <w:tcW w:type="dxa" w:w="1514"/>
          </w:tcPr>
          <w:p>
            <w:pPr>
              <w:spacing w:before="20" w:after="20"/>
            </w:pPr>
            <w:r/>
            <w:r>
              <w:rPr>
                <w:rFonts w:ascii="Verdana" w:hAnsi="Verdana"/>
                <w:b w:val="0"/>
                <w:sz w:val="16"/>
              </w:rPr>
              <w:t>Données sur le degré de confiance du produit du radioaltimètre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0 21 069</w:t>
            </w:r>
          </w:p>
        </w:tc>
        <w:tc>
          <w:tcPr>
            <w:tcW w:type="dxa" w:w="1514"/>
          </w:tcPr>
          <w:p>
            <w:pPr>
              <w:spacing w:before="20" w:after="20"/>
            </w:pPr>
            <w:r/>
            <w:r>
              <w:rPr>
                <w:rFonts w:ascii="Verdana" w:hAnsi="Verdana"/>
                <w:b w:val="0"/>
                <w:sz w:val="16"/>
              </w:rPr>
              <w:t>Données sur le degré de confiance du produit concernant la température de la mer en surface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0 21 070</w:t>
            </w:r>
          </w:p>
        </w:tc>
        <w:tc>
          <w:tcPr>
            <w:tcW w:type="dxa" w:w="1514"/>
          </w:tcPr>
          <w:p>
            <w:pPr>
              <w:spacing w:before="20" w:after="20"/>
            </w:pPr>
            <w:r/>
            <w:r>
              <w:rPr>
                <w:rFonts w:ascii="Verdana" w:hAnsi="Verdana"/>
                <w:b w:val="0"/>
                <w:sz w:val="16"/>
              </w:rPr>
              <w:t>Données sur le degré de confiance du produit concernant la température de surface de la mer (SADIST-2)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0 21 071</w:t>
            </w:r>
          </w:p>
        </w:tc>
        <w:tc>
          <w:tcPr>
            <w:tcW w:type="dxa" w:w="1514"/>
          </w:tcPr>
          <w:p>
            <w:pPr>
              <w:spacing w:before="20" w:after="20"/>
            </w:pPr>
            <w:r/>
            <w:r>
              <w:rPr>
                <w:rFonts w:ascii="Verdana" w:hAnsi="Verdana"/>
                <w:b w:val="0"/>
                <w:sz w:val="16"/>
              </w:rPr>
              <w:t>Maxima</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0 21 072</w:t>
            </w:r>
          </w:p>
        </w:tc>
        <w:tc>
          <w:tcPr>
            <w:tcW w:type="dxa" w:w="1514"/>
          </w:tcPr>
          <w:p>
            <w:pPr>
              <w:spacing w:before="20" w:after="20"/>
            </w:pPr>
            <w:r/>
            <w:r>
              <w:rPr>
                <w:rFonts w:ascii="Verdana" w:hAnsi="Verdana"/>
                <w:b w:val="0"/>
                <w:sz w:val="16"/>
              </w:rPr>
              <w:t>État d'étalonnage de l'altimètre sur satellite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0 21 073</w:t>
            </w:r>
          </w:p>
        </w:tc>
        <w:tc>
          <w:tcPr>
            <w:tcW w:type="dxa" w:w="1514"/>
          </w:tcPr>
          <w:p>
            <w:pPr>
              <w:spacing w:before="20" w:after="20"/>
            </w:pPr>
            <w:r/>
            <w:r>
              <w:rPr>
                <w:rFonts w:ascii="Verdana" w:hAnsi="Verdana"/>
                <w:b w:val="0"/>
                <w:sz w:val="16"/>
              </w:rPr>
              <w:t>Mode de l'altimètre sur satellite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0 21 075</w:t>
            </w:r>
          </w:p>
        </w:tc>
        <w:tc>
          <w:tcPr>
            <w:tcW w:type="dxa" w:w="1514"/>
          </w:tcPr>
          <w:p>
            <w:pPr>
              <w:spacing w:before="20" w:after="20"/>
            </w:pPr>
            <w:r/>
            <w:r>
              <w:rPr>
                <w:rFonts w:ascii="Verdana" w:hAnsi="Verdana"/>
                <w:b w:val="0"/>
                <w:sz w:val="16"/>
              </w:rPr>
              <w:t>Intensité spectrale de l'image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0 21 076</w:t>
            </w:r>
          </w:p>
        </w:tc>
        <w:tc>
          <w:tcPr>
            <w:tcW w:type="dxa" w:w="1514"/>
          </w:tcPr>
          <w:p>
            <w:pPr>
              <w:spacing w:before="20" w:after="20"/>
            </w:pPr>
            <w:r/>
            <w:r>
              <w:rPr>
                <w:rFonts w:ascii="Verdana" w:hAnsi="Verdana"/>
                <w:b w:val="0"/>
                <w:sz w:val="16"/>
              </w:rPr>
              <w:t>Représentation des intensités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0 21 077</w:t>
            </w:r>
          </w:p>
        </w:tc>
        <w:tc>
          <w:tcPr>
            <w:tcW w:type="dxa" w:w="1514"/>
          </w:tcPr>
          <w:p>
            <w:pPr>
              <w:spacing w:before="20" w:after="20"/>
            </w:pPr>
            <w:r/>
            <w:r>
              <w:rPr>
                <w:rFonts w:ascii="Verdana" w:hAnsi="Verdana"/>
                <w:b w:val="0"/>
                <w:sz w:val="16"/>
              </w:rPr>
              <w:t>Correction d'altitude (ionosphère)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0 21 078</w:t>
            </w:r>
          </w:p>
        </w:tc>
        <w:tc>
          <w:tcPr>
            <w:tcW w:type="dxa" w:w="1514"/>
          </w:tcPr>
          <w:p>
            <w:pPr>
              <w:spacing w:before="20" w:after="20"/>
            </w:pPr>
            <w:r/>
            <w:r>
              <w:rPr>
                <w:rFonts w:ascii="Verdana" w:hAnsi="Verdana"/>
                <w:b w:val="0"/>
                <w:sz w:val="16"/>
              </w:rPr>
              <w:t>Correction d'altitude (troposphère sèche)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0 21 079</w:t>
            </w:r>
          </w:p>
        </w:tc>
        <w:tc>
          <w:tcPr>
            <w:tcW w:type="dxa" w:w="1514"/>
          </w:tcPr>
          <w:p>
            <w:pPr>
              <w:spacing w:before="20" w:after="20"/>
            </w:pPr>
            <w:r/>
            <w:r>
              <w:rPr>
                <w:rFonts w:ascii="Verdana" w:hAnsi="Verdana"/>
                <w:b w:val="0"/>
                <w:sz w:val="16"/>
              </w:rPr>
              <w:t>Correction d'altitude (troposphère humide)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0 21 080</w:t>
            </w:r>
          </w:p>
        </w:tc>
        <w:tc>
          <w:tcPr>
            <w:tcW w:type="dxa" w:w="1514"/>
          </w:tcPr>
          <w:p>
            <w:pPr>
              <w:spacing w:before="20" w:after="20"/>
            </w:pPr>
            <w:r/>
            <w:r>
              <w:rPr>
                <w:rFonts w:ascii="Verdana" w:hAnsi="Verdana"/>
                <w:b w:val="0"/>
                <w:sz w:val="16"/>
              </w:rPr>
              <w:t>Correction d'altitude (constance d'étalonnage)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0 21 081</w:t>
            </w:r>
          </w:p>
        </w:tc>
        <w:tc>
          <w:tcPr>
            <w:tcW w:type="dxa" w:w="1514"/>
          </w:tcPr>
          <w:p>
            <w:pPr>
              <w:spacing w:before="20" w:after="20"/>
            </w:pPr>
            <w:r/>
            <w:r>
              <w:rPr>
                <w:rFonts w:ascii="Verdana" w:hAnsi="Verdana"/>
                <w:b w:val="0"/>
                <w:sz w:val="16"/>
              </w:rPr>
              <w:t>Correction de boucle ouverte (boucle hauteur-temps)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0 21 082</w:t>
            </w:r>
          </w:p>
        </w:tc>
        <w:tc>
          <w:tcPr>
            <w:tcW w:type="dxa" w:w="1514"/>
          </w:tcPr>
          <w:p>
            <w:pPr>
              <w:spacing w:before="20" w:after="20"/>
            </w:pPr>
            <w:r/>
            <w:r>
              <w:rPr>
                <w:rFonts w:ascii="Verdana" w:hAnsi="Verdana"/>
                <w:b w:val="0"/>
                <w:sz w:val="16"/>
              </w:rPr>
              <w:t>Correction de boucle ouverte (contrôle de gain automatique)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0 21 083</w:t>
            </w:r>
          </w:p>
        </w:tc>
        <w:tc>
          <w:tcPr>
            <w:tcW w:type="dxa" w:w="1514"/>
          </w:tcPr>
          <w:p>
            <w:pPr>
              <w:spacing w:before="20" w:after="20"/>
            </w:pPr>
            <w:r/>
            <w:r>
              <w:rPr>
                <w:rFonts w:ascii="Verdana" w:hAnsi="Verdana"/>
                <w:b w:val="0"/>
                <w:sz w:val="16"/>
              </w:rPr>
              <w:t>Étalonnage - cible chaude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0 21 084</w:t>
            </w:r>
          </w:p>
        </w:tc>
        <w:tc>
          <w:tcPr>
            <w:tcW w:type="dxa" w:w="1514"/>
          </w:tcPr>
          <w:p>
            <w:pPr>
              <w:spacing w:before="20" w:after="20"/>
            </w:pPr>
            <w:r/>
            <w:r>
              <w:rPr>
                <w:rFonts w:ascii="Verdana" w:hAnsi="Verdana"/>
                <w:b w:val="0"/>
                <w:sz w:val="16"/>
              </w:rPr>
              <w:t>Étalonnage - cible froide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0 21 085</w:t>
            </w:r>
          </w:p>
        </w:tc>
        <w:tc>
          <w:tcPr>
            <w:tcW w:type="dxa" w:w="1514"/>
          </w:tcPr>
          <w:p>
            <w:pPr>
              <w:spacing w:before="20" w:after="20"/>
            </w:pPr>
            <w:r/>
            <w:r>
              <w:rPr>
                <w:rFonts w:ascii="Verdana" w:hAnsi="Verdana"/>
                <w:b w:val="0"/>
                <w:sz w:val="16"/>
              </w:rPr>
              <w:t>Nombre de bandes transversales de mesure de la température de la mer en surface par ATSR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0 21 086</w:t>
            </w:r>
          </w:p>
        </w:tc>
        <w:tc>
          <w:tcPr>
            <w:tcW w:type="dxa" w:w="1514"/>
          </w:tcPr>
          <w:p>
            <w:pPr>
              <w:spacing w:before="20" w:after="20"/>
            </w:pPr>
            <w:r/>
            <w:r>
              <w:rPr>
                <w:rFonts w:ascii="Verdana" w:hAnsi="Verdana"/>
                <w:b w:val="0"/>
                <w:sz w:val="16"/>
              </w:rPr>
              <w:t>Nombre moyen de pixels au nadir uniquement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0 21 087</w:t>
            </w:r>
          </w:p>
        </w:tc>
        <w:tc>
          <w:tcPr>
            <w:tcW w:type="dxa" w:w="1514"/>
          </w:tcPr>
          <w:p>
            <w:pPr>
              <w:spacing w:before="20" w:after="20"/>
            </w:pPr>
            <w:r/>
            <w:r>
              <w:rPr>
                <w:rFonts w:ascii="Verdana" w:hAnsi="Verdana"/>
                <w:b w:val="0"/>
                <w:sz w:val="16"/>
              </w:rPr>
              <w:t>Nombre moyen de pixels en double visée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0 21 088</w:t>
            </w:r>
          </w:p>
        </w:tc>
        <w:tc>
          <w:tcPr>
            <w:tcW w:type="dxa" w:w="1514"/>
          </w:tcPr>
          <w:p>
            <w:pPr>
              <w:spacing w:before="20" w:after="20"/>
            </w:pPr>
            <w:r/>
            <w:r>
              <w:rPr>
                <w:rFonts w:ascii="Verdana" w:hAnsi="Verdana"/>
                <w:b w:val="0"/>
                <w:sz w:val="16"/>
              </w:rPr>
              <w:t>Rétrodiffusion, conditions humides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0 21 091</w:t>
            </w:r>
          </w:p>
        </w:tc>
        <w:tc>
          <w:tcPr>
            <w:tcW w:type="dxa" w:w="1514"/>
          </w:tcPr>
          <w:p>
            <w:pPr>
              <w:spacing w:before="20" w:after="20"/>
            </w:pPr>
            <w:r/>
            <w:r>
              <w:rPr>
                <w:rFonts w:ascii="Verdana" w:hAnsi="Verdana"/>
                <w:b w:val="0"/>
                <w:sz w:val="16"/>
              </w:rPr>
              <w:t>0ième moment du spectre Doppler du signal radar</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0 21 092</w:t>
            </w:r>
          </w:p>
        </w:tc>
        <w:tc>
          <w:tcPr>
            <w:tcW w:type="dxa" w:w="1514"/>
          </w:tcPr>
          <w:p>
            <w:pPr>
              <w:spacing w:before="20" w:after="20"/>
            </w:pPr>
            <w:r/>
            <w:r>
              <w:rPr>
                <w:rFonts w:ascii="Verdana" w:hAnsi="Verdana"/>
                <w:b w:val="0"/>
                <w:sz w:val="16"/>
              </w:rPr>
              <w:t>0ième moment du spectre Doppler du signal RASS (Système de sondage radio-acoustique)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0 21 093</w:t>
            </w:r>
          </w:p>
        </w:tc>
        <w:tc>
          <w:tcPr>
            <w:tcW w:type="dxa" w:w="1514"/>
          </w:tcPr>
          <w:p>
            <w:pPr>
              <w:spacing w:before="20" w:after="20"/>
            </w:pPr>
            <w:r/>
            <w:r>
              <w:rPr>
                <w:rFonts w:ascii="Verdana" w:hAnsi="Verdana"/>
                <w:b w:val="0"/>
                <w:sz w:val="16"/>
              </w:rPr>
              <w:t>Maxima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0 21 094</w:t>
            </w:r>
          </w:p>
        </w:tc>
        <w:tc>
          <w:tcPr>
            <w:tcW w:type="dxa" w:w="1514"/>
          </w:tcPr>
          <w:p>
            <w:pPr>
              <w:spacing w:before="20" w:after="20"/>
            </w:pPr>
            <w:r/>
            <w:r>
              <w:rPr>
                <w:rFonts w:ascii="Verdana" w:hAnsi="Verdana"/>
                <w:b w:val="0"/>
                <w:sz w:val="16"/>
              </w:rPr>
              <w:t>Maxima bande 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0 21 101</w:t>
            </w:r>
          </w:p>
        </w:tc>
        <w:tc>
          <w:tcPr>
            <w:tcW w:type="dxa" w:w="1514"/>
          </w:tcPr>
          <w:p>
            <w:pPr>
              <w:spacing w:before="20" w:after="20"/>
            </w:pPr>
            <w:r/>
            <w:r>
              <w:rPr>
                <w:rFonts w:ascii="Verdana" w:hAnsi="Verdana"/>
                <w:b w:val="0"/>
                <w:sz w:val="16"/>
              </w:rPr>
              <w:t>Nombre d'ambiguïtés vectorielles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0 21 102</w:t>
            </w:r>
          </w:p>
        </w:tc>
        <w:tc>
          <w:tcPr>
            <w:tcW w:type="dxa" w:w="1514"/>
          </w:tcPr>
          <w:p>
            <w:pPr>
              <w:spacing w:before="20" w:after="20"/>
            </w:pPr>
            <w:r/>
            <w:r>
              <w:rPr>
                <w:rFonts w:ascii="Verdana" w:hAnsi="Verdana"/>
                <w:b w:val="0"/>
                <w:sz w:val="16"/>
              </w:rPr>
              <w:t>Indice du vecteur vent retenu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0 21 103</w:t>
            </w:r>
          </w:p>
        </w:tc>
        <w:tc>
          <w:tcPr>
            <w:tcW w:type="dxa" w:w="1514"/>
          </w:tcPr>
          <w:p>
            <w:pPr>
              <w:spacing w:before="20" w:after="20"/>
            </w:pPr>
            <w:r/>
            <w:r>
              <w:rPr>
                <w:rFonts w:ascii="Verdana" w:hAnsi="Verdana"/>
                <w:b w:val="0"/>
                <w:sz w:val="16"/>
              </w:rPr>
              <w:t>Nombre total de mesures de sigma-0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0 21 104</w:t>
            </w:r>
          </w:p>
        </w:tc>
        <w:tc>
          <w:tcPr>
            <w:tcW w:type="dxa" w:w="1514"/>
          </w:tcPr>
          <w:p>
            <w:pPr>
              <w:spacing w:before="20" w:after="20"/>
            </w:pPr>
            <w:r/>
            <w:r>
              <w:rPr>
                <w:rFonts w:ascii="Verdana" w:hAnsi="Verdana"/>
                <w:b w:val="0"/>
                <w:sz w:val="16"/>
              </w:rPr>
              <w:t>Vraisemblance calculée pour la solution obtenue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0 21 105</w:t>
            </w:r>
          </w:p>
        </w:tc>
        <w:tc>
          <w:tcPr>
            <w:tcW w:type="dxa" w:w="1514"/>
          </w:tcPr>
          <w:p>
            <w:pPr>
              <w:spacing w:before="20" w:after="20"/>
            </w:pPr>
            <w:r/>
            <w:r>
              <w:rPr>
                <w:rFonts w:ascii="Verdana" w:hAnsi="Verdana"/>
                <w:b w:val="0"/>
                <w:sz w:val="16"/>
              </w:rPr>
              <w:t>Surface équivalente radar normalisée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0 21 106</w:t>
            </w:r>
          </w:p>
        </w:tc>
        <w:tc>
          <w:tcPr>
            <w:tcW w:type="dxa" w:w="1514"/>
          </w:tcPr>
          <w:p>
            <w:pPr>
              <w:spacing w:before="20" w:after="20"/>
            </w:pPr>
            <w:r/>
            <w:r>
              <w:rPr>
                <w:rFonts w:ascii="Verdana" w:hAnsi="Verdana"/>
                <w:b w:val="0"/>
                <w:sz w:val="16"/>
              </w:rPr>
              <w:t>Coefficient de variance Kp (alpha)</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0 21 107</w:t>
            </w:r>
          </w:p>
        </w:tc>
        <w:tc>
          <w:tcPr>
            <w:tcW w:type="dxa" w:w="1514"/>
          </w:tcPr>
          <w:p>
            <w:pPr>
              <w:spacing w:before="20" w:after="20"/>
            </w:pPr>
            <w:r/>
            <w:r>
              <w:rPr>
                <w:rFonts w:ascii="Verdana" w:hAnsi="Verdana"/>
                <w:b w:val="0"/>
                <w:sz w:val="16"/>
              </w:rPr>
              <w:t>Coefficient de variance Kp (bêta)</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0 21 109</w:t>
            </w:r>
          </w:p>
        </w:tc>
        <w:tc>
          <w:tcPr>
            <w:tcW w:type="dxa" w:w="1514"/>
          </w:tcPr>
          <w:p>
            <w:pPr>
              <w:spacing w:before="20" w:after="20"/>
            </w:pPr>
            <w:r/>
            <w:r>
              <w:rPr>
                <w:rFonts w:ascii="Verdana" w:hAnsi="Verdana"/>
                <w:b w:val="0"/>
                <w:sz w:val="16"/>
              </w:rPr>
              <w:t>Qualité du vecteur vent mesuré à l'intérieur de la cellule par SEAWINDS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0 21 110</w:t>
            </w:r>
          </w:p>
        </w:tc>
        <w:tc>
          <w:tcPr>
            <w:tcW w:type="dxa" w:w="1514"/>
          </w:tcPr>
          <w:p>
            <w:pPr>
              <w:spacing w:before="20" w:after="20"/>
            </w:pPr>
            <w:r/>
            <w:r>
              <w:rPr>
                <w:rFonts w:ascii="Verdana" w:hAnsi="Verdana"/>
                <w:b w:val="0"/>
                <w:sz w:val="16"/>
              </w:rPr>
              <w:t>Numéro de sigma-0 du faisceau intérieur (à l'avant du satellite)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0 21 111</w:t>
            </w:r>
          </w:p>
        </w:tc>
        <w:tc>
          <w:tcPr>
            <w:tcW w:type="dxa" w:w="1514"/>
          </w:tcPr>
          <w:p>
            <w:pPr>
              <w:spacing w:before="20" w:after="20"/>
            </w:pPr>
            <w:r/>
            <w:r>
              <w:rPr>
                <w:rFonts w:ascii="Verdana" w:hAnsi="Verdana"/>
                <w:b w:val="0"/>
                <w:sz w:val="16"/>
              </w:rPr>
              <w:t>Numéro de sigma-0 du faisceau extérieur (à l'avant du satellite)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0 21 112</w:t>
            </w:r>
          </w:p>
        </w:tc>
        <w:tc>
          <w:tcPr>
            <w:tcW w:type="dxa" w:w="1514"/>
          </w:tcPr>
          <w:p>
            <w:pPr>
              <w:spacing w:before="20" w:after="20"/>
            </w:pPr>
            <w:r/>
            <w:r>
              <w:rPr>
                <w:rFonts w:ascii="Verdana" w:hAnsi="Verdana"/>
                <w:b w:val="0"/>
                <w:sz w:val="16"/>
              </w:rPr>
              <w:t>Numéro de sigma-0 du faisceau intérieur (à l'arrière du satellite)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0 21 113</w:t>
            </w:r>
          </w:p>
        </w:tc>
        <w:tc>
          <w:tcPr>
            <w:tcW w:type="dxa" w:w="1514"/>
          </w:tcPr>
          <w:p>
            <w:pPr>
              <w:spacing w:before="20" w:after="20"/>
            </w:pPr>
            <w:r/>
            <w:r>
              <w:rPr>
                <w:rFonts w:ascii="Verdana" w:hAnsi="Verdana"/>
                <w:b w:val="0"/>
                <w:sz w:val="16"/>
              </w:rPr>
              <w:t>Numéro de sigma-0 du faisceau extérieur (à l'arrière du satellite)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0 21 114</w:t>
            </w:r>
          </w:p>
        </w:tc>
        <w:tc>
          <w:tcPr>
            <w:tcW w:type="dxa" w:w="1514"/>
          </w:tcPr>
          <w:p>
            <w:pPr>
              <w:spacing w:before="20" w:after="20"/>
            </w:pPr>
            <w:r/>
            <w:r>
              <w:rPr>
                <w:rFonts w:ascii="Verdana" w:hAnsi="Verdana"/>
                <w:b w:val="0"/>
                <w:sz w:val="16"/>
              </w:rPr>
              <w:t>Coefficient de variance Kp (gamma)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0 21 115</w:t>
            </w:r>
          </w:p>
        </w:tc>
        <w:tc>
          <w:tcPr>
            <w:tcW w:type="dxa" w:w="1514"/>
          </w:tcPr>
          <w:p>
            <w:pPr>
              <w:spacing w:before="20" w:after="20"/>
            </w:pPr>
            <w:r/>
            <w:r>
              <w:rPr>
                <w:rFonts w:ascii="Verdana" w:hAnsi="Verdana"/>
                <w:b w:val="0"/>
                <w:sz w:val="16"/>
              </w:rPr>
              <w:t>Qualité de sigma-0 déterminée par SEAWINDS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0 21 116</w:t>
            </w:r>
          </w:p>
        </w:tc>
        <w:tc>
          <w:tcPr>
            <w:tcW w:type="dxa" w:w="1514"/>
          </w:tcPr>
          <w:p>
            <w:pPr>
              <w:spacing w:before="20" w:after="20"/>
            </w:pPr>
            <w:r/>
            <w:r>
              <w:rPr>
                <w:rFonts w:ascii="Verdana" w:hAnsi="Verdana"/>
                <w:b w:val="0"/>
                <w:sz w:val="16"/>
              </w:rPr>
              <w:t>Mode de sigma-0 déterminé par SEAWINDS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0 21 117</w:t>
            </w:r>
          </w:p>
        </w:tc>
        <w:tc>
          <w:tcPr>
            <w:tcW w:type="dxa" w:w="1514"/>
          </w:tcPr>
          <w:p>
            <w:pPr>
              <w:spacing w:before="20" w:after="20"/>
            </w:pPr>
            <w:r/>
            <w:r>
              <w:rPr>
                <w:rFonts w:ascii="Verdana" w:hAnsi="Verdana"/>
                <w:b w:val="0"/>
                <w:sz w:val="16"/>
              </w:rPr>
              <w:t>Contrôle de la qualité de la variance de sigma-0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0 21 118</w:t>
            </w:r>
          </w:p>
        </w:tc>
        <w:tc>
          <w:tcPr>
            <w:tcW w:type="dxa" w:w="1514"/>
          </w:tcPr>
          <w:p>
            <w:pPr>
              <w:spacing w:before="20" w:after="20"/>
            </w:pPr>
            <w:r/>
            <w:r>
              <w:rPr>
                <w:rFonts w:ascii="Verdana" w:hAnsi="Verdana"/>
                <w:b w:val="0"/>
                <w:sz w:val="16"/>
              </w:rPr>
              <w:t>Correction d'atténuation sur sigma-0</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0 21 119</w:t>
            </w:r>
          </w:p>
        </w:tc>
        <w:tc>
          <w:tcPr>
            <w:tcW w:type="dxa" w:w="1514"/>
          </w:tcPr>
          <w:p>
            <w:pPr>
              <w:spacing w:before="20" w:after="20"/>
            </w:pPr>
            <w:r/>
            <w:r>
              <w:rPr>
                <w:rFonts w:ascii="Verdana" w:hAnsi="Verdana"/>
                <w:b w:val="0"/>
                <w:sz w:val="16"/>
              </w:rPr>
              <w:t>Modèle géophysique de diffusomètre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0 21 120</w:t>
            </w:r>
          </w:p>
        </w:tc>
        <w:tc>
          <w:tcPr>
            <w:tcW w:type="dxa" w:w="1514"/>
          </w:tcPr>
          <w:p>
            <w:pPr>
              <w:spacing w:before="20" w:after="20"/>
            </w:pPr>
            <w:r/>
            <w:r>
              <w:rPr>
                <w:rFonts w:ascii="Verdana" w:hAnsi="Verdana"/>
                <w:b w:val="0"/>
                <w:sz w:val="16"/>
              </w:rPr>
              <w:t>Probabilité de pluie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0 21 121</w:t>
            </w:r>
          </w:p>
        </w:tc>
        <w:tc>
          <w:tcPr>
            <w:tcW w:type="dxa" w:w="1514"/>
          </w:tcPr>
          <w:p>
            <w:pPr>
              <w:spacing w:before="20" w:after="20"/>
            </w:pPr>
            <w:r/>
            <w:r>
              <w:rPr>
                <w:rFonts w:ascii="Verdana" w:hAnsi="Verdana"/>
                <w:b w:val="0"/>
                <w:sz w:val="16"/>
              </w:rPr>
              <w:t>Indice de pluie déterminé par SEAWINDS à partir d'une fonction objective normalisée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0 21 122</w:t>
            </w:r>
          </w:p>
        </w:tc>
        <w:tc>
          <w:tcPr>
            <w:tcW w:type="dxa" w:w="1514"/>
          </w:tcPr>
          <w:p>
            <w:pPr>
              <w:spacing w:before="20" w:after="20"/>
            </w:pPr>
            <w:r/>
            <w:r>
              <w:rPr>
                <w:rFonts w:ascii="Verdana" w:hAnsi="Verdana"/>
                <w:b w:val="0"/>
                <w:sz w:val="16"/>
              </w:rPr>
              <w:t>Correction d'atténuation sur sigma-0 (sur la base de tB)</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0 21 123</w:t>
            </w:r>
          </w:p>
        </w:tc>
        <w:tc>
          <w:tcPr>
            <w:tcW w:type="dxa" w:w="1514"/>
          </w:tcPr>
          <w:p>
            <w:pPr>
              <w:spacing w:before="20" w:after="20"/>
            </w:pPr>
            <w:r/>
            <w:r>
              <w:rPr>
                <w:rFonts w:ascii="Verdana" w:hAnsi="Verdana"/>
                <w:b w:val="0"/>
                <w:sz w:val="16"/>
              </w:rPr>
              <w:t>Surface équivalente radar normalisée déterminée par SEAWINDS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0 21 128</w:t>
            </w:r>
          </w:p>
        </w:tc>
        <w:tc>
          <w:tcPr>
            <w:tcW w:type="dxa" w:w="1514"/>
          </w:tcPr>
          <w:p>
            <w:pPr>
              <w:spacing w:before="20" w:after="20"/>
            </w:pPr>
            <w:r/>
            <w:r>
              <w:rPr>
                <w:rFonts w:ascii="Verdana" w:hAnsi="Verdana"/>
                <w:b w:val="0"/>
                <w:sz w:val="16"/>
              </w:rPr>
              <w:t>Nombre de points valables par seconde utilisés pour dériver les paramètres précédents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0 21 130</w:t>
            </w:r>
          </w:p>
        </w:tc>
        <w:tc>
          <w:tcPr>
            <w:tcW w:type="dxa" w:w="1514"/>
          </w:tcPr>
          <w:p>
            <w:pPr>
              <w:spacing w:before="20" w:after="20"/>
            </w:pPr>
            <w:r/>
            <w:r>
              <w:rPr>
                <w:rFonts w:ascii="Verdana" w:hAnsi="Verdana"/>
                <w:b w:val="0"/>
                <w:sz w:val="16"/>
              </w:rPr>
              <w:t>Énergie spectrale totale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0 21 131</w:t>
            </w:r>
          </w:p>
        </w:tc>
        <w:tc>
          <w:tcPr>
            <w:tcW w:type="dxa" w:w="1514"/>
          </w:tcPr>
          <w:p>
            <w:pPr>
              <w:spacing w:before="20" w:after="20"/>
            </w:pPr>
            <w:r/>
            <w:r>
              <w:rPr>
                <w:rFonts w:ascii="Verdana" w:hAnsi="Verdana"/>
                <w:b w:val="0"/>
                <w:sz w:val="16"/>
              </w:rPr>
              <w:t>Énergie spectrale maximale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0 21 132</w:t>
            </w:r>
          </w:p>
        </w:tc>
        <w:tc>
          <w:tcPr>
            <w:tcW w:type="dxa" w:w="1514"/>
          </w:tcPr>
          <w:p>
            <w:pPr>
              <w:spacing w:before="20" w:after="20"/>
            </w:pPr>
            <w:r/>
            <w:r>
              <w:rPr>
                <w:rFonts w:ascii="Verdana" w:hAnsi="Verdana"/>
                <w:b w:val="0"/>
                <w:sz w:val="16"/>
              </w:rPr>
              <w:t>Direction de l'énergie spectrale maximale sur la grille de grande résolution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0 21 133</w:t>
            </w:r>
          </w:p>
        </w:tc>
        <w:tc>
          <w:tcPr>
            <w:tcW w:type="dxa" w:w="1514"/>
          </w:tcPr>
          <w:p>
            <w:pPr>
              <w:spacing w:before="20" w:after="20"/>
            </w:pPr>
            <w:r/>
            <w:r>
              <w:rPr>
                <w:rFonts w:ascii="Verdana" w:hAnsi="Verdana"/>
                <w:b w:val="0"/>
                <w:sz w:val="16"/>
              </w:rPr>
              <w:t>Longueur d'onde de l'énergie spectrale maximale sur la grille de grande résolution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0 21 134</w:t>
            </w:r>
          </w:p>
        </w:tc>
        <w:tc>
          <w:tcPr>
            <w:tcW w:type="dxa" w:w="1514"/>
          </w:tcPr>
          <w:p>
            <w:pPr>
              <w:spacing w:before="20" w:after="20"/>
            </w:pPr>
            <w:r/>
            <w:r>
              <w:rPr>
                <w:rFonts w:ascii="Verdana" w:hAnsi="Verdana"/>
                <w:b w:val="0"/>
                <w:sz w:val="16"/>
              </w:rPr>
              <w:t>Pouvoir séparateur de l'interspectre de covariance</w:t>
            </w:r>
          </w:p>
        </w:tc>
        <w:tc>
          <w:tcPr>
            <w:tcW w:type="dxa" w:w="1514"/>
          </w:tcPr>
          <w:p>
            <w:pPr>
              <w:spacing w:before="20" w:after="20"/>
            </w:pPr>
            <w:r/>
            <w:r>
              <w:rPr>
                <w:rFonts w:ascii="Verdana" w:hAnsi="Verdana"/>
                <w:sz w:val="16"/>
              </w:rPr>
              <w:t>rad/m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rad/m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0 21 135</w:t>
            </w:r>
          </w:p>
        </w:tc>
        <w:tc>
          <w:tcPr>
            <w:tcW w:type="dxa" w:w="1514"/>
          </w:tcPr>
          <w:p>
            <w:pPr>
              <w:spacing w:before="20" w:after="20"/>
            </w:pPr>
            <w:r/>
            <w:r>
              <w:rPr>
                <w:rFonts w:ascii="Verdana" w:hAnsi="Verdana"/>
                <w:b w:val="0"/>
                <w:sz w:val="16"/>
              </w:rPr>
              <w:t>Partie réelle des interspectres, en nombre de cellules de la grille polaire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0 21 136</w:t>
            </w:r>
          </w:p>
        </w:tc>
        <w:tc>
          <w:tcPr>
            <w:tcW w:type="dxa" w:w="1514"/>
          </w:tcPr>
          <w:p>
            <w:pPr>
              <w:spacing w:before="20" w:after="20"/>
            </w:pPr>
            <w:r/>
            <w:r>
              <w:rPr>
                <w:rFonts w:ascii="Verdana" w:hAnsi="Verdana"/>
                <w:b w:val="0"/>
                <w:sz w:val="16"/>
              </w:rPr>
              <w:t>Partie imaginaire des interspectres, en nombre de cellules de la grille polaire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0 21 137</w:t>
            </w:r>
          </w:p>
        </w:tc>
        <w:tc>
          <w:tcPr>
            <w:tcW w:type="dxa" w:w="1514"/>
          </w:tcPr>
          <w:p>
            <w:pPr>
              <w:spacing w:before="20" w:after="20"/>
            </w:pPr>
            <w:r/>
            <w:r>
              <w:rPr>
                <w:rFonts w:ascii="Verdana" w:hAnsi="Verdana"/>
                <w:b w:val="0"/>
                <w:sz w:val="16"/>
              </w:rPr>
              <w:t>Coefficient de rétrodiffusion corrigé pour l'océan en bande Ku</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0 21 138</w:t>
            </w:r>
          </w:p>
        </w:tc>
        <w:tc>
          <w:tcPr>
            <w:tcW w:type="dxa" w:w="1514"/>
          </w:tcPr>
          <w:p>
            <w:pPr>
              <w:spacing w:before="20" w:after="20"/>
            </w:pPr>
            <w:r/>
            <w:r>
              <w:rPr>
                <w:rFonts w:ascii="Verdana" w:hAnsi="Verdana"/>
                <w:b w:val="0"/>
                <w:sz w:val="16"/>
              </w:rPr>
              <w:t>Coefficient de rétrodiffusion corrigé type pour l'océan en bande Ku</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0 21 139</w:t>
            </w:r>
          </w:p>
        </w:tc>
        <w:tc>
          <w:tcPr>
            <w:tcW w:type="dxa" w:w="1514"/>
          </w:tcPr>
          <w:p>
            <w:pPr>
              <w:spacing w:before="20" w:after="20"/>
            </w:pPr>
            <w:r/>
            <w:r>
              <w:rPr>
                <w:rFonts w:ascii="Verdana" w:hAnsi="Verdana"/>
                <w:b w:val="0"/>
                <w:sz w:val="16"/>
              </w:rPr>
              <w:t>Correction finale de l'erreur instrumentale pour la commande automatique de gain dans la bande Ku</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0 21 140</w:t>
            </w:r>
          </w:p>
        </w:tc>
        <w:tc>
          <w:tcPr>
            <w:tcW w:type="dxa" w:w="1514"/>
          </w:tcPr>
          <w:p>
            <w:pPr>
              <w:spacing w:before="20" w:after="20"/>
            </w:pPr>
            <w:r/>
            <w:r>
              <w:rPr>
                <w:rFonts w:ascii="Verdana" w:hAnsi="Verdana"/>
                <w:b w:val="0"/>
                <w:sz w:val="16"/>
              </w:rPr>
              <w:t>Coefficient de rétrodiffusion corrigé pour l'océan en bande 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0 21 141</w:t>
            </w:r>
          </w:p>
        </w:tc>
        <w:tc>
          <w:tcPr>
            <w:tcW w:type="dxa" w:w="1514"/>
          </w:tcPr>
          <w:p>
            <w:pPr>
              <w:spacing w:before="20" w:after="20"/>
            </w:pPr>
            <w:r/>
            <w:r>
              <w:rPr>
                <w:rFonts w:ascii="Verdana" w:hAnsi="Verdana"/>
                <w:b w:val="0"/>
                <w:sz w:val="16"/>
              </w:rPr>
              <w:t>Coefficient de rétrodiffusion corrigé type pour l'océan en bande 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0 21 142</w:t>
            </w:r>
          </w:p>
        </w:tc>
        <w:tc>
          <w:tcPr>
            <w:tcW w:type="dxa" w:w="1514"/>
          </w:tcPr>
          <w:p>
            <w:pPr>
              <w:spacing w:before="20" w:after="20"/>
            </w:pPr>
            <w:r/>
            <w:r>
              <w:rPr>
                <w:rFonts w:ascii="Verdana" w:hAnsi="Verdana"/>
                <w:b w:val="0"/>
                <w:sz w:val="16"/>
              </w:rPr>
              <w:t>Correction finale de l'erreur instrumentale pour la commande automatique de gain dans la bande 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0 21 143</w:t>
            </w:r>
          </w:p>
        </w:tc>
        <w:tc>
          <w:tcPr>
            <w:tcW w:type="dxa" w:w="1514"/>
          </w:tcPr>
          <w:p>
            <w:pPr>
              <w:spacing w:before="20" w:after="20"/>
            </w:pPr>
            <w:r/>
            <w:r>
              <w:rPr>
                <w:rFonts w:ascii="Verdana" w:hAnsi="Verdana"/>
                <w:b w:val="0"/>
                <w:sz w:val="16"/>
              </w:rPr>
              <w:t>Atténuation par la pluie en bande Ku</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0 21 144</w:t>
            </w:r>
          </w:p>
        </w:tc>
        <w:tc>
          <w:tcPr>
            <w:tcW w:type="dxa" w:w="1514"/>
          </w:tcPr>
          <w:p>
            <w:pPr>
              <w:spacing w:before="20" w:after="20"/>
            </w:pPr>
            <w:r/>
            <w:r>
              <w:rPr>
                <w:rFonts w:ascii="Verdana" w:hAnsi="Verdana"/>
                <w:b w:val="0"/>
                <w:sz w:val="16"/>
              </w:rPr>
              <w:t>Indicateur de pluie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0 21 145</w:t>
            </w:r>
          </w:p>
        </w:tc>
        <w:tc>
          <w:tcPr>
            <w:tcW w:type="dxa" w:w="1514"/>
          </w:tcPr>
          <w:p>
            <w:pPr>
              <w:spacing w:before="20" w:after="20"/>
            </w:pPr>
            <w:r/>
            <w:r>
              <w:rPr>
                <w:rFonts w:ascii="Verdana" w:hAnsi="Verdana"/>
                <w:b w:val="0"/>
                <w:sz w:val="16"/>
              </w:rPr>
              <w:t>Commande automatique de gain dans la bande Ku</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0 21 146</w:t>
            </w:r>
          </w:p>
        </w:tc>
        <w:tc>
          <w:tcPr>
            <w:tcW w:type="dxa" w:w="1514"/>
          </w:tcPr>
          <w:p>
            <w:pPr>
              <w:spacing w:before="20" w:after="20"/>
            </w:pPr>
            <w:r/>
            <w:r>
              <w:rPr>
                <w:rFonts w:ascii="Verdana" w:hAnsi="Verdana"/>
                <w:b w:val="0"/>
                <w:sz w:val="16"/>
              </w:rPr>
              <w:t>Moyenne quadratique de la commande automatique de gain dans la bande Ku</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0 21 147</w:t>
            </w:r>
          </w:p>
        </w:tc>
        <w:tc>
          <w:tcPr>
            <w:tcW w:type="dxa" w:w="1514"/>
          </w:tcPr>
          <w:p>
            <w:pPr>
              <w:spacing w:before="20" w:after="20"/>
            </w:pPr>
            <w:r/>
            <w:r>
              <w:rPr>
                <w:rFonts w:ascii="Verdana" w:hAnsi="Verdana"/>
                <w:b w:val="0"/>
                <w:sz w:val="16"/>
              </w:rPr>
              <w:t>Nombre de points corrects pour la commande automatique de gain dans la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0 21 148</w:t>
            </w:r>
          </w:p>
        </w:tc>
        <w:tc>
          <w:tcPr>
            <w:tcW w:type="dxa" w:w="1514"/>
          </w:tcPr>
          <w:p>
            <w:pPr>
              <w:spacing w:before="20" w:after="20"/>
            </w:pPr>
            <w:r/>
            <w:r>
              <w:rPr>
                <w:rFonts w:ascii="Verdana" w:hAnsi="Verdana"/>
                <w:b w:val="0"/>
                <w:sz w:val="16"/>
              </w:rPr>
              <w:t>Indicateur de variation du front arrière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0 21 150</w:t>
            </w:r>
          </w:p>
        </w:tc>
        <w:tc>
          <w:tcPr>
            <w:tcW w:type="dxa" w:w="1514"/>
          </w:tcPr>
          <w:p>
            <w:pPr>
              <w:spacing w:before="20" w:after="20"/>
            </w:pPr>
            <w:r/>
            <w:r>
              <w:rPr>
                <w:rFonts w:ascii="Verdana" w:hAnsi="Verdana"/>
                <w:b w:val="0"/>
                <w:sz w:val="16"/>
              </w:rPr>
              <w:t>Recoupement de faisceaux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0 21 151</w:t>
            </w:r>
          </w:p>
        </w:tc>
        <w:tc>
          <w:tcPr>
            <w:tcW w:type="dxa" w:w="1514"/>
          </w:tcPr>
          <w:p>
            <w:pPr>
              <w:spacing w:before="20" w:after="20"/>
            </w:pPr>
            <w:r/>
            <w:r>
              <w:rPr>
                <w:rFonts w:ascii="Verdana" w:hAnsi="Verdana"/>
                <w:b w:val="0"/>
                <w:sz w:val="16"/>
              </w:rPr>
              <w:t>Erreur estimative de sigma-0 à une incidence de 40°</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0 21 152</w:t>
            </w:r>
          </w:p>
        </w:tc>
        <w:tc>
          <w:tcPr>
            <w:tcW w:type="dxa" w:w="1514"/>
          </w:tcPr>
          <w:p>
            <w:pPr>
              <w:spacing w:before="20" w:after="20"/>
            </w:pPr>
            <w:r/>
            <w:r>
              <w:rPr>
                <w:rFonts w:ascii="Verdana" w:hAnsi="Verdana"/>
                <w:b w:val="0"/>
                <w:sz w:val="16"/>
              </w:rPr>
              <w:t>Pente à une incidence de 40°</w:t>
            </w:r>
          </w:p>
        </w:tc>
        <w:tc>
          <w:tcPr>
            <w:tcW w:type="dxa" w:w="1514"/>
          </w:tcPr>
          <w:p>
            <w:pPr>
              <w:spacing w:before="20" w:after="20"/>
            </w:pPr>
            <w:r/>
            <w:r>
              <w:rPr>
                <w:rFonts w:ascii="Verdana" w:hAnsi="Verdana"/>
                <w:sz w:val="16"/>
              </w:rPr>
              <w:t>dB/deg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0 21 153</w:t>
            </w:r>
          </w:p>
        </w:tc>
        <w:tc>
          <w:tcPr>
            <w:tcW w:type="dxa" w:w="1514"/>
          </w:tcPr>
          <w:p>
            <w:pPr>
              <w:spacing w:before="20" w:after="20"/>
            </w:pPr>
            <w:r/>
            <w:r>
              <w:rPr>
                <w:rFonts w:ascii="Verdana" w:hAnsi="Verdana"/>
                <w:b w:val="0"/>
                <w:sz w:val="16"/>
              </w:rPr>
              <w:t>Erreur estimative de la pente à une incidence de 40°</w:t>
            </w:r>
          </w:p>
        </w:tc>
        <w:tc>
          <w:tcPr>
            <w:tcW w:type="dxa" w:w="1514"/>
          </w:tcPr>
          <w:p>
            <w:pPr>
              <w:spacing w:before="20" w:after="20"/>
            </w:pPr>
            <w:r/>
            <w:r>
              <w:rPr>
                <w:rFonts w:ascii="Verdana" w:hAnsi="Verdana"/>
                <w:sz w:val="16"/>
              </w:rPr>
              <w:t>dB/deg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0 21 154</w:t>
            </w:r>
          </w:p>
        </w:tc>
        <w:tc>
          <w:tcPr>
            <w:tcW w:type="dxa" w:w="1514"/>
          </w:tcPr>
          <w:p>
            <w:pPr>
              <w:spacing w:before="20" w:after="20"/>
            </w:pPr>
            <w:r/>
            <w:r>
              <w:rPr>
                <w:rFonts w:ascii="Verdana" w:hAnsi="Verdana"/>
                <w:b w:val="0"/>
                <w:sz w:val="16"/>
              </w:rPr>
              <w:t>Sensibilité à l'humidité du sol</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0 21 155</w:t>
            </w:r>
          </w:p>
        </w:tc>
        <w:tc>
          <w:tcPr>
            <w:tcW w:type="dxa" w:w="1514"/>
          </w:tcPr>
          <w:p>
            <w:pPr>
              <w:spacing w:before="20" w:after="20"/>
            </w:pPr>
            <w:r/>
            <w:r>
              <w:rPr>
                <w:rFonts w:ascii="Verdana" w:hAnsi="Verdana"/>
                <w:b w:val="0"/>
                <w:sz w:val="16"/>
              </w:rPr>
              <w:t>Qualité du vecteur vent dans la cellule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0 21 156</w:t>
            </w:r>
          </w:p>
        </w:tc>
        <w:tc>
          <w:tcPr>
            <w:tcW w:type="dxa" w:w="1514"/>
          </w:tcPr>
          <w:p>
            <w:pPr>
              <w:spacing w:before="20" w:after="20"/>
            </w:pPr>
            <w:r/>
            <w:r>
              <w:rPr>
                <w:rFonts w:ascii="Verdana" w:hAnsi="Verdana"/>
                <w:b w:val="0"/>
                <w:sz w:val="16"/>
              </w:rPr>
              <w:t>Distance de rétrodiffusion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0 21 157</w:t>
            </w:r>
          </w:p>
        </w:tc>
        <w:tc>
          <w:tcPr>
            <w:tcW w:type="dxa" w:w="1514"/>
          </w:tcPr>
          <w:p>
            <w:pPr>
              <w:spacing w:before="20" w:after="20"/>
            </w:pPr>
            <w:r/>
            <w:r>
              <w:rPr>
                <w:rFonts w:ascii="Verdana" w:hAnsi="Verdana"/>
                <w:b w:val="0"/>
                <w:sz w:val="16"/>
              </w:rPr>
              <w:t>Perte par unité de longueur utilisée pour l'atmosphère</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0 21 158</w:t>
            </w:r>
          </w:p>
        </w:tc>
        <w:tc>
          <w:tcPr>
            <w:tcW w:type="dxa" w:w="1514"/>
          </w:tcPr>
          <w:p>
            <w:pPr>
              <w:spacing w:before="20" w:after="20"/>
            </w:pPr>
            <w:r/>
            <w:r>
              <w:rPr>
                <w:rFonts w:ascii="Verdana" w:hAnsi="Verdana"/>
                <w:b w:val="0"/>
                <w:sz w:val="16"/>
              </w:rPr>
              <w:t>Qualité de l'estimation de la Kp, ASCAT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0 21 159</w:t>
            </w:r>
          </w:p>
        </w:tc>
        <w:tc>
          <w:tcPr>
            <w:tcW w:type="dxa" w:w="1514"/>
          </w:tcPr>
          <w:p>
            <w:pPr>
              <w:spacing w:before="20" w:after="20"/>
            </w:pPr>
            <w:r/>
            <w:r>
              <w:rPr>
                <w:rFonts w:ascii="Verdana" w:hAnsi="Verdana"/>
                <w:b w:val="0"/>
                <w:sz w:val="16"/>
              </w:rPr>
              <w:t>Unité des sigma-0, ASCAT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0 21 160</w:t>
            </w:r>
          </w:p>
        </w:tc>
        <w:tc>
          <w:tcPr>
            <w:tcW w:type="dxa" w:w="1514"/>
          </w:tcPr>
          <w:p>
            <w:pPr>
              <w:spacing w:before="20" w:after="20"/>
            </w:pPr>
            <w:r/>
            <w:r>
              <w:rPr>
                <w:rFonts w:ascii="Verdana" w:hAnsi="Verdana"/>
                <w:b w:val="0"/>
                <w:sz w:val="16"/>
              </w:rPr>
              <w:t>Utilisation de données synthétiques, ASCAT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0 21 161</w:t>
            </w:r>
          </w:p>
        </w:tc>
        <w:tc>
          <w:tcPr>
            <w:tcW w:type="dxa" w:w="1514"/>
          </w:tcPr>
          <w:p>
            <w:pPr>
              <w:spacing w:before="20" w:after="20"/>
            </w:pPr>
            <w:r/>
            <w:r>
              <w:rPr>
                <w:rFonts w:ascii="Verdana" w:hAnsi="Verdana"/>
                <w:b w:val="0"/>
                <w:sz w:val="16"/>
              </w:rPr>
              <w:t>Quantité des données synthétiques, ASCAT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0 21 162</w:t>
            </w:r>
          </w:p>
        </w:tc>
        <w:tc>
          <w:tcPr>
            <w:tcW w:type="dxa" w:w="1514"/>
          </w:tcPr>
          <w:p>
            <w:pPr>
              <w:spacing w:before="20" w:after="20"/>
            </w:pPr>
            <w:r/>
            <w:r>
              <w:rPr>
                <w:rFonts w:ascii="Verdana" w:hAnsi="Verdana"/>
                <w:b w:val="0"/>
                <w:sz w:val="16"/>
              </w:rPr>
              <w:t>Qualité de l'orbite et de l'attitude du satellite, ASCAT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0 21 163</w:t>
            </w:r>
          </w:p>
        </w:tc>
        <w:tc>
          <w:tcPr>
            <w:tcW w:type="dxa" w:w="1514"/>
          </w:tcPr>
          <w:p>
            <w:pPr>
              <w:spacing w:before="20" w:after="20"/>
            </w:pPr>
            <w:r/>
            <w:r>
              <w:rPr>
                <w:rFonts w:ascii="Verdana" w:hAnsi="Verdana"/>
                <w:b w:val="0"/>
                <w:sz w:val="16"/>
              </w:rPr>
              <w:t>Contamination par réflexion sur panneau solaire, ASCAT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0 21 164</w:t>
            </w:r>
          </w:p>
        </w:tc>
        <w:tc>
          <w:tcPr>
            <w:tcW w:type="dxa" w:w="1514"/>
          </w:tcPr>
          <w:p>
            <w:pPr>
              <w:spacing w:before="20" w:after="20"/>
            </w:pPr>
            <w:r/>
            <w:r>
              <w:rPr>
                <w:rFonts w:ascii="Verdana" w:hAnsi="Verdana"/>
                <w:b w:val="0"/>
                <w:sz w:val="16"/>
              </w:rPr>
              <w:t>Présence et qualité des télémesures, ASCAT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0 21 165</w:t>
            </w:r>
          </w:p>
        </w:tc>
        <w:tc>
          <w:tcPr>
            <w:tcW w:type="dxa" w:w="1514"/>
          </w:tcPr>
          <w:p>
            <w:pPr>
              <w:spacing w:before="20" w:after="20"/>
            </w:pPr>
            <w:r/>
            <w:r>
              <w:rPr>
                <w:rFonts w:ascii="Verdana" w:hAnsi="Verdana"/>
                <w:b w:val="0"/>
                <w:sz w:val="16"/>
              </w:rPr>
              <w:t>Fonction de référence extrapolée, ASCAT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0 21 166</w:t>
            </w:r>
          </w:p>
        </w:tc>
        <w:tc>
          <w:tcPr>
            <w:tcW w:type="dxa" w:w="1514"/>
          </w:tcPr>
          <w:p>
            <w:pPr>
              <w:spacing w:before="20" w:after="20"/>
            </w:pPr>
            <w:r/>
            <w:r>
              <w:rPr>
                <w:rFonts w:ascii="Verdana" w:hAnsi="Verdana"/>
                <w:b w:val="0"/>
                <w:sz w:val="16"/>
              </w:rPr>
              <w:t>Fraction terrestre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0 21 169</w:t>
            </w:r>
          </w:p>
        </w:tc>
        <w:tc>
          <w:tcPr>
            <w:tcW w:type="dxa" w:w="1514"/>
          </w:tcPr>
          <w:p>
            <w:pPr>
              <w:spacing w:before="20" w:after="20"/>
            </w:pPr>
            <w:r/>
            <w:r>
              <w:rPr>
                <w:rFonts w:ascii="Verdana" w:hAnsi="Verdana"/>
                <w:b w:val="0"/>
                <w:sz w:val="16"/>
              </w:rPr>
              <w:t>Indicateur de présence de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0 21 170</w:t>
            </w:r>
          </w:p>
        </w:tc>
        <w:tc>
          <w:tcPr>
            <w:tcW w:type="dxa" w:w="1514"/>
          </w:tcPr>
          <w:p>
            <w:pPr>
              <w:spacing w:before="20" w:after="20"/>
            </w:pPr>
            <w:r/>
            <w:r>
              <w:rPr>
                <w:rFonts w:ascii="Verdana" w:hAnsi="Verdana"/>
                <w:b w:val="0"/>
                <w:sz w:val="16"/>
              </w:rPr>
              <w:t>Coefficient de rétrodiffusion corrigé pour l'océan en bande C</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0 21 171</w:t>
            </w:r>
          </w:p>
        </w:tc>
        <w:tc>
          <w:tcPr>
            <w:tcW w:type="dxa" w:w="1514"/>
          </w:tcPr>
          <w:p>
            <w:pPr>
              <w:spacing w:before="20" w:after="20"/>
            </w:pPr>
            <w:r/>
            <w:r>
              <w:rPr>
                <w:rFonts w:ascii="Verdana" w:hAnsi="Verdana"/>
                <w:b w:val="0"/>
                <w:sz w:val="16"/>
              </w:rPr>
              <w:t>Moyenne quadratique du coefficient de rétrodiffusion corrigé pour l'océan en bande C</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0 21 172</w:t>
            </w:r>
          </w:p>
        </w:tc>
        <w:tc>
          <w:tcPr>
            <w:tcW w:type="dxa" w:w="1514"/>
          </w:tcPr>
          <w:p>
            <w:pPr>
              <w:spacing w:before="20" w:after="20"/>
            </w:pPr>
            <w:r/>
            <w:r>
              <w:rPr>
                <w:rFonts w:ascii="Verdana" w:hAnsi="Verdana"/>
                <w:b w:val="0"/>
                <w:sz w:val="16"/>
              </w:rPr>
              <w:t>Correction finale de l'erreur instrumentale pour la commande automatique de gain dans la bande C</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0 21 173</w:t>
            </w:r>
          </w:p>
        </w:tc>
        <w:tc>
          <w:tcPr>
            <w:tcW w:type="dxa" w:w="1514"/>
          </w:tcPr>
          <w:p>
            <w:pPr>
              <w:spacing w:before="20" w:after="20"/>
            </w:pPr>
            <w:r/>
            <w:r>
              <w:rPr>
                <w:rFonts w:ascii="Verdana" w:hAnsi="Verdana"/>
                <w:b w:val="0"/>
                <w:sz w:val="16"/>
              </w:rPr>
              <w:t>Commande automatique de gain dans la bande C</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0 21 174</w:t>
            </w:r>
          </w:p>
        </w:tc>
        <w:tc>
          <w:tcPr>
            <w:tcW w:type="dxa" w:w="1514"/>
          </w:tcPr>
          <w:p>
            <w:pPr>
              <w:spacing w:before="20" w:after="20"/>
            </w:pPr>
            <w:r/>
            <w:r>
              <w:rPr>
                <w:rFonts w:ascii="Verdana" w:hAnsi="Verdana"/>
                <w:b w:val="0"/>
                <w:sz w:val="16"/>
              </w:rPr>
              <w:t>Moyenne quadratique de la commande automatique de gain dans la bande C</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0 21 175</w:t>
            </w:r>
          </w:p>
        </w:tc>
        <w:tc>
          <w:tcPr>
            <w:tcW w:type="dxa" w:w="1514"/>
          </w:tcPr>
          <w:p>
            <w:pPr>
              <w:spacing w:before="20" w:after="20"/>
            </w:pPr>
            <w:r/>
            <w:r>
              <w:rPr>
                <w:rFonts w:ascii="Verdana" w:hAnsi="Verdana"/>
                <w:b w:val="0"/>
                <w:sz w:val="16"/>
              </w:rPr>
              <w:t>Nombre de points corrects pour la commande automatique de gain dans la bande C</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0 21 176</w:t>
            </w:r>
          </w:p>
        </w:tc>
        <w:tc>
          <w:tcPr>
            <w:tcW w:type="dxa" w:w="1514"/>
          </w:tcPr>
          <w:p>
            <w:pPr>
              <w:spacing w:before="20" w:after="20"/>
            </w:pPr>
            <w:r/>
            <w:r>
              <w:rPr>
                <w:rFonts w:ascii="Verdana" w:hAnsi="Verdana"/>
                <w:b w:val="0"/>
                <w:sz w:val="16"/>
              </w:rPr>
              <w:t>Correction haute fréquence de la variabilité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0 21 177</w:t>
            </w:r>
          </w:p>
        </w:tc>
        <w:tc>
          <w:tcPr>
            <w:tcW w:type="dxa" w:w="1514"/>
          </w:tcPr>
          <w:p>
            <w:pPr>
              <w:spacing w:before="20" w:after="20"/>
            </w:pPr>
            <w:r/>
            <w:r>
              <w:rPr>
                <w:rFonts w:ascii="Verdana" w:hAnsi="Verdana"/>
                <w:b w:val="0"/>
                <w:sz w:val="16"/>
              </w:rPr>
              <w:t>Coefficient de rétrodiffusion corrigé - centre de gravité excentré</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0 21 178</w:t>
            </w:r>
          </w:p>
        </w:tc>
        <w:tc>
          <w:tcPr>
            <w:tcW w:type="dxa" w:w="1514"/>
          </w:tcPr>
          <w:p>
            <w:pPr>
              <w:spacing w:before="20" w:after="20"/>
            </w:pPr>
            <w:r/>
            <w:r>
              <w:rPr>
                <w:rFonts w:ascii="Verdana" w:hAnsi="Verdana"/>
                <w:b w:val="0"/>
                <w:sz w:val="16"/>
              </w:rPr>
              <w:t>Coefficient de rétrodiffusion corrigé type à 20 Hz - centre de gravité excentré</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0 21 179</w:t>
            </w:r>
          </w:p>
        </w:tc>
        <w:tc>
          <w:tcPr>
            <w:tcW w:type="dxa" w:w="1514"/>
          </w:tcPr>
          <w:p>
            <w:pPr>
              <w:spacing w:before="20" w:after="20"/>
            </w:pPr>
            <w:r/>
            <w:r>
              <w:rPr>
                <w:rFonts w:ascii="Verdana" w:hAnsi="Verdana"/>
                <w:b w:val="0"/>
                <w:sz w:val="16"/>
              </w:rPr>
              <w:t>Nombre de points corrects à 20 Hz pour le coefficient de rétrodiffusion - centre de gravité excentré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0 21 180</w:t>
            </w:r>
          </w:p>
        </w:tc>
        <w:tc>
          <w:tcPr>
            <w:tcW w:type="dxa" w:w="1514"/>
          </w:tcPr>
          <w:p>
            <w:pPr>
              <w:spacing w:before="20" w:after="20"/>
            </w:pPr>
            <w:r/>
            <w:r>
              <w:rPr>
                <w:rFonts w:ascii="Verdana" w:hAnsi="Verdana"/>
                <w:b w:val="0"/>
                <w:sz w:val="16"/>
              </w:rPr>
              <w:t>Nombre de points corrects à 20 Hz pour le coefficient de rétrodiffusion pour l'océan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0 21 181</w:t>
            </w:r>
          </w:p>
        </w:tc>
        <w:tc>
          <w:tcPr>
            <w:tcW w:type="dxa" w:w="1514"/>
          </w:tcPr>
          <w:p>
            <w:pPr>
              <w:spacing w:before="20" w:after="20"/>
            </w:pPr>
            <w:r/>
            <w:r>
              <w:rPr>
                <w:rFonts w:ascii="Verdana" w:hAnsi="Verdana"/>
                <w:b w:val="0"/>
                <w:sz w:val="16"/>
              </w:rPr>
              <w:t>Coefficient de rétrodiffusion pour l'océan à 20 Hz</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0 21 182</w:t>
            </w:r>
          </w:p>
        </w:tc>
        <w:tc>
          <w:tcPr>
            <w:tcW w:type="dxa" w:w="1514"/>
          </w:tcPr>
          <w:p>
            <w:pPr>
              <w:spacing w:before="20" w:after="20"/>
            </w:pPr>
            <w:r/>
            <w:r>
              <w:rPr>
                <w:rFonts w:ascii="Verdana" w:hAnsi="Verdana"/>
                <w:b w:val="0"/>
                <w:sz w:val="16"/>
              </w:rPr>
              <w:t>Maxima à 20 Hz en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0 21 183</w:t>
            </w:r>
          </w:p>
        </w:tc>
        <w:tc>
          <w:tcPr>
            <w:tcW w:type="dxa" w:w="1514"/>
          </w:tcPr>
          <w:p>
            <w:pPr>
              <w:spacing w:before="20" w:after="20"/>
            </w:pPr>
            <w:r/>
            <w:r>
              <w:rPr>
                <w:rFonts w:ascii="Verdana" w:hAnsi="Verdana"/>
                <w:b w:val="0"/>
                <w:sz w:val="16"/>
              </w:rPr>
              <w:t>Coefficient de rétrodiffusion corrigé pour l'océan dans une bande précise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0 21 184</w:t>
            </w:r>
          </w:p>
        </w:tc>
        <w:tc>
          <w:tcPr>
            <w:tcW w:type="dxa" w:w="1514"/>
          </w:tcPr>
          <w:p>
            <w:pPr>
              <w:spacing w:before="20" w:after="20"/>
            </w:pPr>
            <w:r/>
            <w:r>
              <w:rPr>
                <w:rFonts w:ascii="Verdana" w:hAnsi="Verdana"/>
                <w:b w:val="0"/>
                <w:sz w:val="16"/>
              </w:rPr>
              <w:t>Coefficient de rétrodiffusion corrigé type pour l'océan dans une bande précise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0 21 185</w:t>
            </w:r>
          </w:p>
        </w:tc>
        <w:tc>
          <w:tcPr>
            <w:tcW w:type="dxa" w:w="1514"/>
          </w:tcPr>
          <w:p>
            <w:pPr>
              <w:spacing w:before="20" w:after="20"/>
            </w:pPr>
            <w:r/>
            <w:r>
              <w:rPr>
                <w:rFonts w:ascii="Verdana" w:hAnsi="Verdana"/>
                <w:b w:val="0"/>
                <w:sz w:val="16"/>
              </w:rPr>
              <w:t>Correction finale de l'erreur instrumentale pour la commande automatique de gain dans une bande précise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0 21 186</w:t>
            </w:r>
          </w:p>
        </w:tc>
        <w:tc>
          <w:tcPr>
            <w:tcW w:type="dxa" w:w="1514"/>
          </w:tcPr>
          <w:p>
            <w:pPr>
              <w:spacing w:before="20" w:after="20"/>
            </w:pPr>
            <w:r/>
            <w:r>
              <w:rPr>
                <w:rFonts w:ascii="Verdana" w:hAnsi="Verdana"/>
                <w:b w:val="0"/>
                <w:sz w:val="16"/>
              </w:rPr>
              <w:t>Commande automatique de gain dans une bande précise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0 21 187</w:t>
            </w:r>
          </w:p>
        </w:tc>
        <w:tc>
          <w:tcPr>
            <w:tcW w:type="dxa" w:w="1514"/>
          </w:tcPr>
          <w:p>
            <w:pPr>
              <w:spacing w:before="20" w:after="20"/>
            </w:pPr>
            <w:r/>
            <w:r>
              <w:rPr>
                <w:rFonts w:ascii="Verdana" w:hAnsi="Verdana"/>
                <w:b w:val="0"/>
                <w:sz w:val="16"/>
              </w:rPr>
              <w:t>Moyenne quadratique de la commande automatique de gain dans une bande précise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0 21 188</w:t>
            </w:r>
          </w:p>
        </w:tc>
        <w:tc>
          <w:tcPr>
            <w:tcW w:type="dxa" w:w="1514"/>
          </w:tcPr>
          <w:p>
            <w:pPr>
              <w:spacing w:before="20" w:after="20"/>
            </w:pPr>
            <w:r/>
            <w:r>
              <w:rPr>
                <w:rFonts w:ascii="Verdana" w:hAnsi="Verdana"/>
                <w:b w:val="0"/>
                <w:sz w:val="16"/>
              </w:rPr>
              <w:t>Nombre de points corrects pour la commande automatique de gain dans une bande précise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