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22 : Éléments océanographiques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0 22 001</w:t>
            </w:r>
          </w:p>
        </w:tc>
        <w:tc>
          <w:tcPr>
            <w:tcW w:type="dxa" w:w="1514"/>
          </w:tcPr>
          <w:p>
            <w:pPr>
              <w:spacing w:before="20" w:after="20"/>
            </w:pPr>
            <w:r/>
            <w:r>
              <w:rPr>
                <w:rFonts w:ascii="Verdana" w:hAnsi="Verdana"/>
                <w:b w:val="0"/>
                <w:sz w:val="16"/>
              </w:rPr>
              <w:t>Direction des vagues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(voir Note 6)</w:t>
            </w:r>
          </w:p>
        </w:tc>
      </w:tr>
      <w:tr>
        <w:trPr>
          <w:cantSplit/>
        </w:trPr>
        <w:tc>
          <w:tcPr>
            <w:tcW w:type="dxa" w:w="1514"/>
          </w:tcPr>
          <w:p>
            <w:pPr>
              <w:spacing w:before="20" w:after="20"/>
            </w:pPr>
            <w:r/>
            <w:r>
              <w:rPr>
                <w:rFonts w:ascii="Verdana" w:hAnsi="Verdana"/>
                <w:b w:val="0"/>
                <w:sz w:val="16"/>
              </w:rPr>
              <w:t>0 22 002</w:t>
            </w:r>
          </w:p>
        </w:tc>
        <w:tc>
          <w:tcPr>
            <w:tcW w:type="dxa" w:w="1514"/>
          </w:tcPr>
          <w:p>
            <w:pPr>
              <w:spacing w:before="20" w:after="20"/>
            </w:pPr>
            <w:r/>
            <w:r>
              <w:rPr>
                <w:rFonts w:ascii="Verdana" w:hAnsi="Verdana"/>
                <w:b w:val="0"/>
                <w:sz w:val="16"/>
              </w:rPr>
              <w:t>Direction des vagues de la mer du vent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(voir Note 6)</w:t>
            </w:r>
          </w:p>
        </w:tc>
      </w:tr>
      <w:tr>
        <w:trPr>
          <w:cantSplit/>
        </w:trPr>
        <w:tc>
          <w:tcPr>
            <w:tcW w:type="dxa" w:w="1514"/>
          </w:tcPr>
          <w:p>
            <w:pPr>
              <w:spacing w:before="20" w:after="20"/>
            </w:pPr>
            <w:r/>
            <w:r>
              <w:rPr>
                <w:rFonts w:ascii="Verdana" w:hAnsi="Verdana"/>
                <w:b w:val="0"/>
                <w:sz w:val="16"/>
              </w:rPr>
              <w:t>0 22 003</w:t>
            </w:r>
          </w:p>
        </w:tc>
        <w:tc>
          <w:tcPr>
            <w:tcW w:type="dxa" w:w="1514"/>
          </w:tcPr>
          <w:p>
            <w:pPr>
              <w:spacing w:before="20" w:after="20"/>
            </w:pPr>
            <w:r/>
            <w:r>
              <w:rPr>
                <w:rFonts w:ascii="Verdana" w:hAnsi="Verdana"/>
                <w:b w:val="0"/>
                <w:sz w:val="16"/>
              </w:rPr>
              <w:t>Direction des vagues de la houle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(voir Note 6)</w:t>
            </w:r>
          </w:p>
        </w:tc>
      </w:tr>
      <w:tr>
        <w:trPr>
          <w:cantSplit/>
        </w:trPr>
        <w:tc>
          <w:tcPr>
            <w:tcW w:type="dxa" w:w="1514"/>
          </w:tcPr>
          <w:p>
            <w:pPr>
              <w:spacing w:before="20" w:after="20"/>
            </w:pPr>
            <w:r/>
            <w:r>
              <w:rPr>
                <w:rFonts w:ascii="Verdana" w:hAnsi="Verdana"/>
                <w:b w:val="0"/>
                <w:sz w:val="16"/>
              </w:rPr>
              <w:t>0 22 004</w:t>
            </w:r>
          </w:p>
        </w:tc>
        <w:tc>
          <w:tcPr>
            <w:tcW w:type="dxa" w:w="1514"/>
          </w:tcPr>
          <w:p>
            <w:pPr>
              <w:spacing w:before="20" w:after="20"/>
            </w:pPr>
            <w:r/>
            <w:r>
              <w:rPr>
                <w:rFonts w:ascii="Verdana" w:hAnsi="Verdana"/>
                <w:b w:val="0"/>
                <w:sz w:val="16"/>
              </w:rPr>
              <w:t>Direction du courant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54: Descripteur 0 22 004: la direction indiquée dans cette entrée est la direction vers laquelle s’écoule le courant.</w:t>
            </w:r>
          </w:p>
        </w:tc>
      </w:tr>
      <w:tr>
        <w:trPr>
          <w:cantSplit/>
        </w:trPr>
        <w:tc>
          <w:tcPr>
            <w:tcW w:type="dxa" w:w="1514"/>
          </w:tcPr>
          <w:p>
            <w:pPr>
              <w:spacing w:before="20" w:after="20"/>
            </w:pPr>
            <w:r/>
            <w:r>
              <w:rPr>
                <w:rFonts w:ascii="Verdana" w:hAnsi="Verdana"/>
                <w:b w:val="0"/>
                <w:sz w:val="16"/>
              </w:rPr>
              <w:t>0 22 005</w:t>
            </w:r>
          </w:p>
        </w:tc>
        <w:tc>
          <w:tcPr>
            <w:tcW w:type="dxa" w:w="1514"/>
          </w:tcPr>
          <w:p>
            <w:pPr>
              <w:spacing w:before="20" w:after="20"/>
            </w:pPr>
            <w:r/>
            <w:r>
              <w:rPr>
                <w:rFonts w:ascii="Verdana" w:hAnsi="Verdana"/>
                <w:b w:val="0"/>
                <w:sz w:val="16"/>
              </w:rPr>
              <w:t>Direction du courant marin de surface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0 22 011</w:t>
            </w:r>
          </w:p>
        </w:tc>
        <w:tc>
          <w:tcPr>
            <w:tcW w:type="dxa" w:w="1514"/>
          </w:tcPr>
          <w:p>
            <w:pPr>
              <w:spacing w:before="20" w:after="20"/>
            </w:pPr>
            <w:r/>
            <w:r>
              <w:rPr>
                <w:rFonts w:ascii="Verdana" w:hAnsi="Verdana"/>
                <w:b w:val="0"/>
                <w:sz w:val="16"/>
              </w:rPr>
              <w:t>Période des vagues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0 22 012</w:t>
            </w:r>
          </w:p>
        </w:tc>
        <w:tc>
          <w:tcPr>
            <w:tcW w:type="dxa" w:w="1514"/>
          </w:tcPr>
          <w:p>
            <w:pPr>
              <w:spacing w:before="20" w:after="20"/>
            </w:pPr>
            <w:r/>
            <w:r>
              <w:rPr>
                <w:rFonts w:ascii="Verdana" w:hAnsi="Verdana"/>
                <w:b w:val="0"/>
                <w:sz w:val="16"/>
              </w:rPr>
              <w:t>Période des vagues de la mer du vent</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0 22 013</w:t>
            </w:r>
          </w:p>
        </w:tc>
        <w:tc>
          <w:tcPr>
            <w:tcW w:type="dxa" w:w="1514"/>
          </w:tcPr>
          <w:p>
            <w:pPr>
              <w:spacing w:before="20" w:after="20"/>
            </w:pPr>
            <w:r/>
            <w:r>
              <w:rPr>
                <w:rFonts w:ascii="Verdana" w:hAnsi="Verdana"/>
                <w:b w:val="0"/>
                <w:sz w:val="16"/>
              </w:rPr>
              <w:t>Période des vagues de la houle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0 22 021</w:t>
            </w:r>
          </w:p>
        </w:tc>
        <w:tc>
          <w:tcPr>
            <w:tcW w:type="dxa" w:w="1514"/>
          </w:tcPr>
          <w:p>
            <w:pPr>
              <w:spacing w:before="20" w:after="20"/>
            </w:pPr>
            <w:r/>
            <w:r>
              <w:rPr>
                <w:rFonts w:ascii="Verdana" w:hAnsi="Verdana"/>
                <w:b w:val="0"/>
                <w:sz w:val="16"/>
              </w:rPr>
              <w:t>Hauteur des vagues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0 22 022</w:t>
            </w:r>
          </w:p>
        </w:tc>
        <w:tc>
          <w:tcPr>
            <w:tcW w:type="dxa" w:w="1514"/>
          </w:tcPr>
          <w:p>
            <w:pPr>
              <w:spacing w:before="20" w:after="20"/>
            </w:pPr>
            <w:r/>
            <w:r>
              <w:rPr>
                <w:rFonts w:ascii="Verdana" w:hAnsi="Verdana"/>
                <w:b w:val="0"/>
                <w:sz w:val="16"/>
              </w:rPr>
              <w:t>Hauteur des vagues de la mer du vent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0 22 023</w:t>
            </w:r>
          </w:p>
        </w:tc>
        <w:tc>
          <w:tcPr>
            <w:tcW w:type="dxa" w:w="1514"/>
          </w:tcPr>
          <w:p>
            <w:pPr>
              <w:spacing w:before="20" w:after="20"/>
            </w:pPr>
            <w:r/>
            <w:r>
              <w:rPr>
                <w:rFonts w:ascii="Verdana" w:hAnsi="Verdana"/>
                <w:b w:val="0"/>
                <w:sz w:val="16"/>
              </w:rPr>
              <w:t>Hauteur des vagues de la houle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0 22 025</w:t>
            </w:r>
          </w:p>
        </w:tc>
        <w:tc>
          <w:tcPr>
            <w:tcW w:type="dxa" w:w="1514"/>
          </w:tcPr>
          <w:p>
            <w:pPr>
              <w:spacing w:before="20" w:after="20"/>
            </w:pPr>
            <w:r/>
            <w:r>
              <w:rPr>
                <w:rFonts w:ascii="Verdana" w:hAnsi="Verdana"/>
                <w:b w:val="0"/>
                <w:sz w:val="16"/>
              </w:rPr>
              <w:t>Écart type de la hauteur des vagues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0 22 026</w:t>
            </w:r>
          </w:p>
        </w:tc>
        <w:tc>
          <w:tcPr>
            <w:tcW w:type="dxa" w:w="1514"/>
          </w:tcPr>
          <w:p>
            <w:pPr>
              <w:spacing w:before="20" w:after="20"/>
            </w:pPr>
            <w:r/>
            <w:r>
              <w:rPr>
                <w:rFonts w:ascii="Verdana" w:hAnsi="Verdana"/>
                <w:b w:val="0"/>
                <w:sz w:val="16"/>
              </w:rPr>
              <w:t>Écart type de la hauteur significative des vagues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0 22 031</w:t>
            </w:r>
          </w:p>
        </w:tc>
        <w:tc>
          <w:tcPr>
            <w:tcW w:type="dxa" w:w="1514"/>
          </w:tcPr>
          <w:p>
            <w:pPr>
              <w:spacing w:before="20" w:after="20"/>
            </w:pPr>
            <w:r/>
            <w:r>
              <w:rPr>
                <w:rFonts w:ascii="Verdana" w:hAnsi="Verdana"/>
                <w:b w:val="0"/>
                <w:sz w:val="16"/>
              </w:rPr>
              <w:t>Vitesse du courant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0 22 032</w:t>
            </w:r>
          </w:p>
        </w:tc>
        <w:tc>
          <w:tcPr>
            <w:tcW w:type="dxa" w:w="1514"/>
          </w:tcPr>
          <w:p>
            <w:pPr>
              <w:spacing w:before="20" w:after="20"/>
            </w:pPr>
            <w:r/>
            <w:r>
              <w:rPr>
                <w:rFonts w:ascii="Verdana" w:hAnsi="Verdana"/>
                <w:b w:val="0"/>
                <w:sz w:val="16"/>
              </w:rPr>
              <w:t>Vitesse du courant marin de surface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0 22 035</w:t>
            </w:r>
          </w:p>
        </w:tc>
        <w:tc>
          <w:tcPr>
            <w:tcW w:type="dxa" w:w="1514"/>
          </w:tcPr>
          <w:p>
            <w:pPr>
              <w:spacing w:before="20" w:after="20"/>
            </w:pPr>
            <w:r/>
            <w:r>
              <w:rPr>
                <w:rFonts w:ascii="Verdana" w:hAnsi="Verdana"/>
                <w:b w:val="0"/>
                <w:sz w:val="16"/>
              </w:rPr>
              <w:t>Hauteur de marée par rapport aux zéros hydrographiques locaux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0 22 036</w:t>
            </w:r>
          </w:p>
        </w:tc>
        <w:tc>
          <w:tcPr>
            <w:tcW w:type="dxa" w:w="1514"/>
          </w:tcPr>
          <w:p>
            <w:pPr>
              <w:spacing w:before="20" w:after="20"/>
            </w:pPr>
            <w:r/>
            <w:r>
              <w:rPr>
                <w:rFonts w:ascii="Verdana" w:hAnsi="Verdana"/>
                <w:b w:val="0"/>
                <w:sz w:val="16"/>
              </w:rPr>
              <w:t>Hauteur de marée résiduelle météorologique (montée ou retrait des eaux)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0 22 037</w:t>
            </w:r>
          </w:p>
        </w:tc>
        <w:tc>
          <w:tcPr>
            <w:tcW w:type="dxa" w:w="1514"/>
          </w:tcPr>
          <w:p>
            <w:pPr>
              <w:spacing w:before="20" w:after="20"/>
            </w:pPr>
            <w:r/>
            <w:r>
              <w:rPr>
                <w:rFonts w:ascii="Verdana" w:hAnsi="Verdana"/>
                <w:b w:val="0"/>
                <w:sz w:val="16"/>
              </w:rPr>
              <w:t>Hauteur de marée par rapport aux zéros terrestres locaux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0 22 038</w:t>
            </w:r>
          </w:p>
        </w:tc>
        <w:tc>
          <w:tcPr>
            <w:tcW w:type="dxa" w:w="1514"/>
          </w:tcPr>
          <w:p>
            <w:pPr>
              <w:spacing w:before="20" w:after="20"/>
            </w:pPr>
            <w:r/>
            <w:r>
              <w:rPr>
                <w:rFonts w:ascii="Verdana" w:hAnsi="Verdana"/>
                <w:b w:val="0"/>
                <w:sz w:val="16"/>
              </w:rPr>
              <w:t>Hauteur de marée par rapport aux zéros hydrographiques locaux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0 22 039</w:t>
            </w:r>
          </w:p>
        </w:tc>
        <w:tc>
          <w:tcPr>
            <w:tcW w:type="dxa" w:w="1514"/>
          </w:tcPr>
          <w:p>
            <w:pPr>
              <w:spacing w:before="20" w:after="20"/>
            </w:pPr>
            <w:r/>
            <w:r>
              <w:rPr>
                <w:rFonts w:ascii="Verdana" w:hAnsi="Verdana"/>
                <w:b w:val="0"/>
                <w:sz w:val="16"/>
              </w:rPr>
              <w:t>Hauteur de marée résiduelle météorologique (montée ou retrait des eaux)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55: Il convient d’utiliser le descripteur 0 22 040 à la place du descripteur 0 22 039 pour le codage de la hauteur de marée résiduelle météorologique (montée ou retrait des eaux).</w:t>
            </w:r>
          </w:p>
        </w:tc>
      </w:tr>
      <w:tr>
        <w:trPr>
          <w:cantSplit/>
        </w:trPr>
        <w:tc>
          <w:tcPr>
            <w:tcW w:type="dxa" w:w="1514"/>
          </w:tcPr>
          <w:p>
            <w:pPr>
              <w:spacing w:before="20" w:after="20"/>
            </w:pPr>
            <w:r/>
            <w:r>
              <w:rPr>
                <w:rFonts w:ascii="Verdana" w:hAnsi="Verdana"/>
                <w:b w:val="0"/>
                <w:sz w:val="16"/>
              </w:rPr>
              <w:t>0 22 040</w:t>
            </w:r>
          </w:p>
        </w:tc>
        <w:tc>
          <w:tcPr>
            <w:tcW w:type="dxa" w:w="1514"/>
          </w:tcPr>
          <w:p>
            <w:pPr>
              <w:spacing w:before="20" w:after="20"/>
            </w:pPr>
            <w:r/>
            <w:r>
              <w:rPr>
                <w:rFonts w:ascii="Verdana" w:hAnsi="Verdana"/>
                <w:b w:val="0"/>
                <w:sz w:val="16"/>
              </w:rPr>
              <w:t>Hauteur de marée résiduelle météorologique (montée ou retrait des eaux)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55: Il convient d’utiliser le descripteur 0 22 040 à la place du descripteur 0 22 039 pour le codage de la hauteur de marée résiduelle météorologique (montée ou retrait des eaux).</w:t>
            </w:r>
          </w:p>
        </w:tc>
      </w:tr>
      <w:tr>
        <w:trPr>
          <w:cantSplit/>
        </w:trPr>
        <w:tc>
          <w:tcPr>
            <w:tcW w:type="dxa" w:w="1514"/>
          </w:tcPr>
          <w:p>
            <w:pPr>
              <w:spacing w:before="20" w:after="20"/>
            </w:pPr>
            <w:r/>
            <w:r>
              <w:rPr>
                <w:rFonts w:ascii="Verdana" w:hAnsi="Verdana"/>
                <w:b w:val="0"/>
                <w:sz w:val="16"/>
              </w:rPr>
              <w:t>0 22 041</w:t>
            </w:r>
          </w:p>
        </w:tc>
        <w:tc>
          <w:tcPr>
            <w:tcW w:type="dxa" w:w="1514"/>
          </w:tcPr>
          <w:p>
            <w:pPr>
              <w:spacing w:before="20" w:after="20"/>
            </w:pPr>
            <w:r/>
            <w:r>
              <w:rPr>
                <w:rFonts w:ascii="Verdana" w:hAnsi="Verdana"/>
                <w:b w:val="0"/>
                <w:sz w:val="16"/>
              </w:rPr>
              <w:t>Température de surface de la mer (moyenne mobile sur 15 jours)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0 22 042</w:t>
            </w:r>
          </w:p>
        </w:tc>
        <w:tc>
          <w:tcPr>
            <w:tcW w:type="dxa" w:w="1514"/>
          </w:tcPr>
          <w:p>
            <w:pPr>
              <w:spacing w:before="20" w:after="20"/>
            </w:pPr>
            <w:r/>
            <w:r>
              <w:rPr>
                <w:rFonts w:ascii="Verdana" w:hAnsi="Verdana"/>
                <w:b w:val="0"/>
                <w:sz w:val="16"/>
              </w:rPr>
              <w:t>Température de la mer/de l'eau</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0 22 043</w:t>
            </w:r>
          </w:p>
        </w:tc>
        <w:tc>
          <w:tcPr>
            <w:tcW w:type="dxa" w:w="1514"/>
          </w:tcPr>
          <w:p>
            <w:pPr>
              <w:spacing w:before="20" w:after="20"/>
            </w:pPr>
            <w:r/>
            <w:r>
              <w:rPr>
                <w:rFonts w:ascii="Verdana" w:hAnsi="Verdana"/>
                <w:b w:val="0"/>
                <w:sz w:val="16"/>
              </w:rPr>
              <w:t>Température de la mer/de l'eau</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0 22 044</w:t>
            </w:r>
          </w:p>
        </w:tc>
        <w:tc>
          <w:tcPr>
            <w:tcW w:type="dxa" w:w="1514"/>
          </w:tcPr>
          <w:p>
            <w:pPr>
              <w:spacing w:before="20" w:after="20"/>
            </w:pPr>
            <w:r/>
            <w:r>
              <w:rPr>
                <w:rFonts w:ascii="Verdana" w:hAnsi="Verdana"/>
                <w:b w:val="0"/>
                <w:sz w:val="16"/>
              </w:rPr>
              <w:t>Vitesse du son</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0 22 045</w:t>
            </w:r>
          </w:p>
        </w:tc>
        <w:tc>
          <w:tcPr>
            <w:tcW w:type="dxa" w:w="1514"/>
          </w:tcPr>
          <w:p>
            <w:pPr>
              <w:spacing w:before="20" w:after="20"/>
            </w:pPr>
            <w:r/>
            <w:r>
              <w:rPr>
                <w:rFonts w:ascii="Verdana" w:hAnsi="Verdana"/>
                <w:b w:val="0"/>
                <w:sz w:val="16"/>
              </w:rPr>
              <w:t>Température de la mer/de l'eau</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0 22 046</w:t>
            </w:r>
          </w:p>
        </w:tc>
        <w:tc>
          <w:tcPr>
            <w:tcW w:type="dxa" w:w="1514"/>
          </w:tcPr>
          <w:p>
            <w:pPr>
              <w:spacing w:before="20" w:after="20"/>
            </w:pPr>
            <w:r/>
            <w:r>
              <w:rPr>
                <w:rFonts w:ascii="Verdana" w:hAnsi="Verdana"/>
                <w:b w:val="0"/>
                <w:sz w:val="16"/>
              </w:rPr>
              <w:t>Fraction de glace de mer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0 22 049</w:t>
            </w:r>
          </w:p>
        </w:tc>
        <w:tc>
          <w:tcPr>
            <w:tcW w:type="dxa" w:w="1514"/>
          </w:tcPr>
          <w:p>
            <w:pPr>
              <w:spacing w:before="20" w:after="20"/>
            </w:pPr>
            <w:r/>
            <w:r>
              <w:rPr>
                <w:rFonts w:ascii="Verdana" w:hAnsi="Verdana"/>
                <w:b w:val="0"/>
                <w:sz w:val="16"/>
              </w:rPr>
              <w:t>Température de surface de la mer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0 22 050</w:t>
            </w:r>
          </w:p>
        </w:tc>
        <w:tc>
          <w:tcPr>
            <w:tcW w:type="dxa" w:w="1514"/>
          </w:tcPr>
          <w:p>
            <w:pPr>
              <w:spacing w:before="20" w:after="20"/>
            </w:pPr>
            <w:r/>
            <w:r>
              <w:rPr>
                <w:rFonts w:ascii="Verdana" w:hAnsi="Verdana"/>
                <w:b w:val="0"/>
                <w:sz w:val="16"/>
              </w:rPr>
              <w:t>Écart type de la température de surface de la mer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0 22 055</w:t>
            </w:r>
          </w:p>
        </w:tc>
        <w:tc>
          <w:tcPr>
            <w:tcW w:type="dxa" w:w="1514"/>
          </w:tcPr>
          <w:p>
            <w:pPr>
              <w:spacing w:before="20" w:after="20"/>
            </w:pPr>
            <w:r/>
            <w:r>
              <w:rPr>
                <w:rFonts w:ascii="Verdana" w:hAnsi="Verdana"/>
                <w:b w:val="0"/>
                <w:sz w:val="16"/>
              </w:rPr>
              <w:t>Numéro de cycle du flotteur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0 22 056</w:t>
            </w:r>
          </w:p>
        </w:tc>
        <w:tc>
          <w:tcPr>
            <w:tcW w:type="dxa" w:w="1514"/>
          </w:tcPr>
          <w:p>
            <w:pPr>
              <w:spacing w:before="20" w:after="20"/>
            </w:pPr>
            <w:r/>
            <w:r>
              <w:rPr>
                <w:rFonts w:ascii="Verdana" w:hAnsi="Verdana"/>
                <w:b w:val="0"/>
                <w:sz w:val="16"/>
              </w:rPr>
              <w:t>Direction du profil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0 22 059</w:t>
            </w:r>
          </w:p>
        </w:tc>
        <w:tc>
          <w:tcPr>
            <w:tcW w:type="dxa" w:w="1514"/>
          </w:tcPr>
          <w:p>
            <w:pPr>
              <w:spacing w:before="20" w:after="20"/>
            </w:pPr>
            <w:r/>
            <w:r>
              <w:rPr>
                <w:rFonts w:ascii="Verdana" w:hAnsi="Verdana"/>
                <w:b w:val="0"/>
                <w:sz w:val="16"/>
              </w:rPr>
              <w:t>Salinité de surface de la mer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0 22 060</w:t>
            </w:r>
          </w:p>
        </w:tc>
        <w:tc>
          <w:tcPr>
            <w:tcW w:type="dxa" w:w="1514"/>
          </w:tcPr>
          <w:p>
            <w:pPr>
              <w:spacing w:before="20" w:after="20"/>
            </w:pPr>
            <w:r/>
            <w:r>
              <w:rPr>
                <w:rFonts w:ascii="Verdana" w:hAnsi="Verdana"/>
                <w:b w:val="0"/>
                <w:sz w:val="16"/>
              </w:rPr>
              <w:t>État de l'ancre flottante - flotteur lagrangien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0 22 061</w:t>
            </w:r>
          </w:p>
        </w:tc>
        <w:tc>
          <w:tcPr>
            <w:tcW w:type="dxa" w:w="1514"/>
          </w:tcPr>
          <w:p>
            <w:pPr>
              <w:spacing w:before="20" w:after="20"/>
            </w:pPr>
            <w:r/>
            <w:r>
              <w:rPr>
                <w:rFonts w:ascii="Verdana" w:hAnsi="Verdana"/>
                <w:b w:val="0"/>
                <w:sz w:val="16"/>
              </w:rPr>
              <w:t>État de la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0 22 062</w:t>
            </w:r>
          </w:p>
        </w:tc>
        <w:tc>
          <w:tcPr>
            <w:tcW w:type="dxa" w:w="1514"/>
          </w:tcPr>
          <w:p>
            <w:pPr>
              <w:spacing w:before="20" w:after="20"/>
            </w:pPr>
            <w:r/>
            <w:r>
              <w:rPr>
                <w:rFonts w:ascii="Verdana" w:hAnsi="Verdana"/>
                <w:b w:val="0"/>
                <w:sz w:val="16"/>
              </w:rPr>
              <w:t>Salinité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0 22 063</w:t>
            </w:r>
          </w:p>
        </w:tc>
        <w:tc>
          <w:tcPr>
            <w:tcW w:type="dxa" w:w="1514"/>
          </w:tcPr>
          <w:p>
            <w:pPr>
              <w:spacing w:before="20" w:after="20"/>
            </w:pPr>
            <w:r/>
            <w:r>
              <w:rPr>
                <w:rFonts w:ascii="Verdana" w:hAnsi="Verdana"/>
                <w:b w:val="0"/>
                <w:sz w:val="16"/>
              </w:rPr>
              <w:t>Profondeur totale de l'eau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0 22 064</w:t>
            </w:r>
          </w:p>
        </w:tc>
        <w:tc>
          <w:tcPr>
            <w:tcW w:type="dxa" w:w="1514"/>
          </w:tcPr>
          <w:p>
            <w:pPr>
              <w:spacing w:before="20" w:after="20"/>
            </w:pPr>
            <w:r/>
            <w:r>
              <w:rPr>
                <w:rFonts w:ascii="Verdana" w:hAnsi="Verdana"/>
                <w:b w:val="0"/>
                <w:sz w:val="16"/>
              </w:rPr>
              <w:t>Salinité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0 22 065</w:t>
            </w:r>
          </w:p>
        </w:tc>
        <w:tc>
          <w:tcPr>
            <w:tcW w:type="dxa" w:w="1514"/>
          </w:tcPr>
          <w:p>
            <w:pPr>
              <w:spacing w:before="20" w:after="20"/>
            </w:pPr>
            <w:r/>
            <w:r>
              <w:rPr>
                <w:rFonts w:ascii="Verdana" w:hAnsi="Verdana"/>
                <w:b w:val="0"/>
                <w:sz w:val="16"/>
              </w:rPr>
              <w:t>Pression d'eau</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0 22 066</w:t>
            </w:r>
          </w:p>
        </w:tc>
        <w:tc>
          <w:tcPr>
            <w:tcW w:type="dxa" w:w="1514"/>
          </w:tcPr>
          <w:p>
            <w:pPr>
              <w:spacing w:before="20" w:after="20"/>
            </w:pPr>
            <w:r/>
            <w:r>
              <w:rPr>
                <w:rFonts w:ascii="Verdana" w:hAnsi="Verdana"/>
                <w:b w:val="0"/>
                <w:sz w:val="16"/>
              </w:rPr>
              <w:t>Conductivité de l'eau</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0 22 067</w:t>
            </w:r>
          </w:p>
        </w:tc>
        <w:tc>
          <w:tcPr>
            <w:tcW w:type="dxa" w:w="1514"/>
          </w:tcPr>
          <w:p>
            <w:pPr>
              <w:spacing w:before="20" w:after="20"/>
            </w:pPr>
            <w:r/>
            <w:r>
              <w:rPr>
                <w:rFonts w:ascii="Verdana" w:hAnsi="Verdana"/>
                <w:b w:val="0"/>
                <w:sz w:val="16"/>
              </w:rPr>
              <w:t>Type d'instrument pour la mesure du profil de la température/salinité de l'eau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0 22 068</w:t>
            </w:r>
          </w:p>
        </w:tc>
        <w:tc>
          <w:tcPr>
            <w:tcW w:type="dxa" w:w="1514"/>
          </w:tcPr>
          <w:p>
            <w:pPr>
              <w:spacing w:before="20" w:after="20"/>
            </w:pPr>
            <w:r/>
            <w:r>
              <w:rPr>
                <w:rFonts w:ascii="Verdana" w:hAnsi="Verdana"/>
                <w:b w:val="0"/>
                <w:sz w:val="16"/>
              </w:rPr>
              <w:t>Types d'enregistreurs du profil de la température de l'eau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0 22 069</w:t>
            </w:r>
          </w:p>
        </w:tc>
        <w:tc>
          <w:tcPr>
            <w:tcW w:type="dxa" w:w="1514"/>
          </w:tcPr>
          <w:p>
            <w:pPr>
              <w:spacing w:before="20" w:after="20"/>
            </w:pPr>
            <w:r/>
            <w:r>
              <w:rPr>
                <w:rFonts w:ascii="Verdana" w:hAnsi="Verdana"/>
                <w:b w:val="0"/>
                <w:sz w:val="16"/>
              </w:rPr>
              <w:t>Densité spectrale des vagues</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0 22 070</w:t>
            </w:r>
          </w:p>
        </w:tc>
        <w:tc>
          <w:tcPr>
            <w:tcW w:type="dxa" w:w="1514"/>
          </w:tcPr>
          <w:p>
            <w:pPr>
              <w:spacing w:before="20" w:after="20"/>
            </w:pPr>
            <w:r/>
            <w:r>
              <w:rPr>
                <w:rFonts w:ascii="Verdana" w:hAnsi="Verdana"/>
                <w:b w:val="0"/>
                <w:sz w:val="16"/>
              </w:rPr>
              <w:t>Hauteur significative des vagues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146: La hauteur significative des vagues est définie comme étant quatre fois la racine carrée du spectre d’énergie intégré sur la direction et la fréquence. Elle correspond à la hauteur dépassée par environ un tiers de l’ensemble des vagues.</w:t>
            </w:r>
          </w:p>
        </w:tc>
      </w:tr>
      <w:tr>
        <w:trPr>
          <w:cantSplit/>
        </w:trPr>
        <w:tc>
          <w:tcPr>
            <w:tcW w:type="dxa" w:w="1514"/>
          </w:tcPr>
          <w:p>
            <w:pPr>
              <w:spacing w:before="20" w:after="20"/>
            </w:pPr>
            <w:r/>
            <w:r>
              <w:rPr>
                <w:rFonts w:ascii="Verdana" w:hAnsi="Verdana"/>
                <w:b w:val="0"/>
                <w:sz w:val="16"/>
              </w:rPr>
              <w:t>0 22 071</w:t>
            </w:r>
          </w:p>
        </w:tc>
        <w:tc>
          <w:tcPr>
            <w:tcW w:type="dxa" w:w="1514"/>
          </w:tcPr>
          <w:p>
            <w:pPr>
              <w:spacing w:before="20" w:after="20"/>
            </w:pPr>
            <w:r/>
            <w:r>
              <w:rPr>
                <w:rFonts w:ascii="Verdana" w:hAnsi="Verdana"/>
                <w:b w:val="0"/>
                <w:sz w:val="16"/>
              </w:rPr>
              <w:t>Période spectrale maximale des vagues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0 22 072</w:t>
            </w:r>
          </w:p>
        </w:tc>
        <w:tc>
          <w:tcPr>
            <w:tcW w:type="dxa" w:w="1514"/>
          </w:tcPr>
          <w:p>
            <w:pPr>
              <w:spacing w:before="20" w:after="20"/>
            </w:pPr>
            <w:r/>
            <w:r>
              <w:rPr>
                <w:rFonts w:ascii="Verdana" w:hAnsi="Verdana"/>
                <w:b w:val="0"/>
                <w:sz w:val="16"/>
              </w:rPr>
              <w:t>Longueur spectrale maximale des vagues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0 22 073</w:t>
            </w:r>
          </w:p>
        </w:tc>
        <w:tc>
          <w:tcPr>
            <w:tcW w:type="dxa" w:w="1514"/>
          </w:tcPr>
          <w:p>
            <w:pPr>
              <w:spacing w:before="20" w:after="20"/>
            </w:pPr>
            <w:r/>
            <w:r>
              <w:rPr>
                <w:rFonts w:ascii="Verdana" w:hAnsi="Verdana"/>
                <w:b w:val="0"/>
                <w:sz w:val="16"/>
              </w:rPr>
              <w:t>Hauteur maximale des vagues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0 22 074</w:t>
            </w:r>
          </w:p>
        </w:tc>
        <w:tc>
          <w:tcPr>
            <w:tcW w:type="dxa" w:w="1514"/>
          </w:tcPr>
          <w:p>
            <w:pPr>
              <w:spacing w:before="20" w:after="20"/>
            </w:pPr>
            <w:r/>
            <w:r>
              <w:rPr>
                <w:rFonts w:ascii="Verdana" w:hAnsi="Verdana"/>
                <w:b w:val="0"/>
                <w:sz w:val="16"/>
              </w:rPr>
              <w:t>Période moyenne des vagues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0 22 075</w:t>
            </w:r>
          </w:p>
        </w:tc>
        <w:tc>
          <w:tcPr>
            <w:tcW w:type="dxa" w:w="1514"/>
          </w:tcPr>
          <w:p>
            <w:pPr>
              <w:spacing w:before="20" w:after="20"/>
            </w:pPr>
            <w:r/>
            <w:r>
              <w:rPr>
                <w:rFonts w:ascii="Verdana" w:hAnsi="Verdana"/>
                <w:b w:val="0"/>
                <w:sz w:val="16"/>
              </w:rPr>
              <w:t>Longueur moyenne des vagues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0 22 076</w:t>
            </w:r>
          </w:p>
        </w:tc>
        <w:tc>
          <w:tcPr>
            <w:tcW w:type="dxa" w:w="1514"/>
          </w:tcPr>
          <w:p>
            <w:pPr>
              <w:spacing w:before="20" w:after="20"/>
            </w:pPr>
            <w:r/>
            <w:r>
              <w:rPr>
                <w:rFonts w:ascii="Verdana" w:hAnsi="Verdana"/>
                <w:b w:val="0"/>
                <w:sz w:val="16"/>
              </w:rPr>
              <w:t>Direction d'où viennent les vagues dominantes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137: La vague dominante est celle qui, dans le spectre d’énergie, possède l’énergie maximale.</w:t>
            </w:r>
          </w:p>
        </w:tc>
      </w:tr>
      <w:tr>
        <w:trPr>
          <w:cantSplit/>
        </w:trPr>
        <w:tc>
          <w:tcPr>
            <w:tcW w:type="dxa" w:w="1514"/>
          </w:tcPr>
          <w:p>
            <w:pPr>
              <w:spacing w:before="20" w:after="20"/>
            </w:pPr>
            <w:r/>
            <w:r>
              <w:rPr>
                <w:rFonts w:ascii="Verdana" w:hAnsi="Verdana"/>
                <w:b w:val="0"/>
                <w:sz w:val="16"/>
              </w:rPr>
              <w:t>0 22 077</w:t>
            </w:r>
          </w:p>
        </w:tc>
        <w:tc>
          <w:tcPr>
            <w:tcW w:type="dxa" w:w="1514"/>
          </w:tcPr>
          <w:p>
            <w:pPr>
              <w:spacing w:before="20" w:after="20"/>
            </w:pPr>
            <w:r/>
            <w:r>
              <w:rPr>
                <w:rFonts w:ascii="Verdana" w:hAnsi="Verdana"/>
                <w:b w:val="0"/>
                <w:sz w:val="16"/>
              </w:rPr>
              <w:t>Dispersion directionnelle de la vague dominante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137: La vague dominante est celle qui, dans le spectre d’énergie, possède l’énergie maximale.</w:t>
            </w:r>
          </w:p>
        </w:tc>
      </w:tr>
      <w:tr>
        <w:trPr>
          <w:cantSplit/>
        </w:trPr>
        <w:tc>
          <w:tcPr>
            <w:tcW w:type="dxa" w:w="1514"/>
          </w:tcPr>
          <w:p>
            <w:pPr>
              <w:spacing w:before="20" w:after="20"/>
            </w:pPr>
            <w:r/>
            <w:r>
              <w:rPr>
                <w:rFonts w:ascii="Verdana" w:hAnsi="Verdana"/>
                <w:b w:val="0"/>
                <w:sz w:val="16"/>
              </w:rPr>
              <w:t>0 22 078</w:t>
            </w:r>
          </w:p>
        </w:tc>
        <w:tc>
          <w:tcPr>
            <w:tcW w:type="dxa" w:w="1514"/>
          </w:tcPr>
          <w:p>
            <w:pPr>
              <w:spacing w:before="20" w:after="20"/>
            </w:pPr>
            <w:r/>
            <w:r>
              <w:rPr>
                <w:rFonts w:ascii="Verdana" w:hAnsi="Verdana"/>
                <w:b w:val="0"/>
                <w:sz w:val="16"/>
              </w:rPr>
              <w:t>Durée de l'enregistrement des vagues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0 22 079</w:t>
            </w:r>
          </w:p>
        </w:tc>
        <w:tc>
          <w:tcPr>
            <w:tcW w:type="dxa" w:w="1514"/>
          </w:tcPr>
          <w:p>
            <w:pPr>
              <w:spacing w:before="20" w:after="20"/>
            </w:pPr>
            <w:r/>
            <w:r>
              <w:rPr>
                <w:rFonts w:ascii="Verdana" w:hAnsi="Verdana"/>
                <w:b w:val="0"/>
                <w:sz w:val="16"/>
              </w:rPr>
              <w:t>Longueur de l'enregistrement des vagues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0 22 080</w:t>
            </w:r>
          </w:p>
        </w:tc>
        <w:tc>
          <w:tcPr>
            <w:tcW w:type="dxa" w:w="1514"/>
          </w:tcPr>
          <w:p>
            <w:pPr>
              <w:spacing w:before="20" w:after="20"/>
            </w:pPr>
            <w:r/>
            <w:r>
              <w:rPr>
                <w:rFonts w:ascii="Verdana" w:hAnsi="Verdana"/>
                <w:b w:val="0"/>
                <w:sz w:val="16"/>
              </w:rPr>
              <w:t>Fréquence centrale des bandes d'ondes</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0 22 081</w:t>
            </w:r>
          </w:p>
        </w:tc>
        <w:tc>
          <w:tcPr>
            <w:tcW w:type="dxa" w:w="1514"/>
          </w:tcPr>
          <w:p>
            <w:pPr>
              <w:spacing w:before="20" w:after="20"/>
            </w:pPr>
            <w:r/>
            <w:r>
              <w:rPr>
                <w:rFonts w:ascii="Verdana" w:hAnsi="Verdana"/>
                <w:b w:val="0"/>
                <w:sz w:val="16"/>
              </w:rPr>
              <w:t>Nombre d'ondes central des bandes d'ondes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0 22 082</w:t>
            </w:r>
          </w:p>
        </w:tc>
        <w:tc>
          <w:tcPr>
            <w:tcW w:type="dxa" w:w="1514"/>
          </w:tcPr>
          <w:p>
            <w:pPr>
              <w:spacing w:before="20" w:after="20"/>
            </w:pPr>
            <w:r/>
            <w:r>
              <w:rPr>
                <w:rFonts w:ascii="Verdana" w:hAnsi="Verdana"/>
                <w:b w:val="0"/>
                <w:sz w:val="16"/>
              </w:rPr>
              <w:t>Densité maximale d'ondes à spectres non directionnels</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0 22 083</w:t>
            </w:r>
          </w:p>
        </w:tc>
        <w:tc>
          <w:tcPr>
            <w:tcW w:type="dxa" w:w="1514"/>
          </w:tcPr>
          <w:p>
            <w:pPr>
              <w:spacing w:before="20" w:after="20"/>
            </w:pPr>
            <w:r/>
            <w:r>
              <w:rPr>
                <w:rFonts w:ascii="Verdana" w:hAnsi="Verdana"/>
                <w:b w:val="0"/>
                <w:sz w:val="16"/>
              </w:rPr>
              <w:t>Nombre maximal d'ondes à spectres non directionnels</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0 22 084</w:t>
            </w:r>
          </w:p>
        </w:tc>
        <w:tc>
          <w:tcPr>
            <w:tcW w:type="dxa" w:w="1514"/>
          </w:tcPr>
          <w:p>
            <w:pPr>
              <w:spacing w:before="20" w:after="20"/>
            </w:pPr>
            <w:r/>
            <w:r>
              <w:rPr>
                <w:rFonts w:ascii="Verdana" w:hAnsi="Verdana"/>
                <w:b w:val="0"/>
                <w:sz w:val="16"/>
              </w:rPr>
              <w:t>Bandes contenant une densité maximale d'ondes à spectres non directionnels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0 22 085</w:t>
            </w:r>
          </w:p>
        </w:tc>
        <w:tc>
          <w:tcPr>
            <w:tcW w:type="dxa" w:w="1514"/>
          </w:tcPr>
          <w:p>
            <w:pPr>
              <w:spacing w:before="20" w:after="20"/>
            </w:pPr>
            <w:r/>
            <w:r>
              <w:rPr>
                <w:rFonts w:ascii="Verdana" w:hAnsi="Verdana"/>
                <w:b w:val="0"/>
                <w:sz w:val="16"/>
              </w:rPr>
              <w:t>Rapport de densité d'ondes à spectres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0 22 086</w:t>
            </w:r>
          </w:p>
        </w:tc>
        <w:tc>
          <w:tcPr>
            <w:tcW w:type="dxa" w:w="1514"/>
          </w:tcPr>
          <w:p>
            <w:pPr>
              <w:spacing w:before="20" w:after="20"/>
            </w:pPr>
            <w:r/>
            <w:r>
              <w:rPr>
                <w:rFonts w:ascii="Verdana" w:hAnsi="Verdana"/>
                <w:b w:val="0"/>
                <w:sz w:val="16"/>
              </w:rPr>
              <w:t>Direction d'où viennent les vagues (valeur moyenne)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100: La direction des vagues (valeur moyenne) est l’angle a 1 et la direction principale des vagues est l’angle a 2, dans l’expression S (f, a ) qui équivaut approximativement à: c 11 x (0,5 + r 1 x cos ( a – a 1) + r 2 x cos (2 ( a – a 2) ) ) / p formule dans laquelle S(f, a ) est le spectre directionnel d’ondes et c 11 est le spectre non directionnel, la partie droite de cette expression correspondant aux deux premiers termes du développement de S(f, a ) de la série Fourier. Si, pour une fréquence donnée, la direction moyenne et la direction principale sont très différentes (soit plus de 15°), les mers complexes sont alors indiquées.</w:t>
            </w:r>
          </w:p>
        </w:tc>
      </w:tr>
      <w:tr>
        <w:trPr>
          <w:cantSplit/>
        </w:trPr>
        <w:tc>
          <w:tcPr>
            <w:tcW w:type="dxa" w:w="1514"/>
          </w:tcPr>
          <w:p>
            <w:pPr>
              <w:spacing w:before="20" w:after="20"/>
            </w:pPr>
            <w:r/>
            <w:r>
              <w:rPr>
                <w:rFonts w:ascii="Verdana" w:hAnsi="Verdana"/>
                <w:b w:val="0"/>
                <w:sz w:val="16"/>
              </w:rPr>
              <w:t>0 22 087</w:t>
            </w:r>
          </w:p>
        </w:tc>
        <w:tc>
          <w:tcPr>
            <w:tcW w:type="dxa" w:w="1514"/>
          </w:tcPr>
          <w:p>
            <w:pPr>
              <w:spacing w:before="20" w:after="20"/>
            </w:pPr>
            <w:r/>
            <w:r>
              <w:rPr>
                <w:rFonts w:ascii="Verdana" w:hAnsi="Verdana"/>
                <w:b w:val="0"/>
                <w:sz w:val="16"/>
              </w:rPr>
              <w:t>Direction principale d'où viennent les vagues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0 22 088</w:t>
            </w:r>
          </w:p>
        </w:tc>
        <w:tc>
          <w:tcPr>
            <w:tcW w:type="dxa" w:w="1514"/>
          </w:tcPr>
          <w:p>
            <w:pPr>
              <w:spacing w:before="20" w:after="20"/>
            </w:pPr>
            <w:r/>
            <w:r>
              <w:rPr>
                <w:rFonts w:ascii="Verdana" w:hAnsi="Verdana"/>
                <w:b w:val="0"/>
                <w:sz w:val="16"/>
              </w:rPr>
              <w:t>Première coordonnée polaire normalisée dérivée des coefficients de Fourier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0 22 089</w:t>
            </w:r>
          </w:p>
        </w:tc>
        <w:tc>
          <w:tcPr>
            <w:tcW w:type="dxa" w:w="1514"/>
          </w:tcPr>
          <w:p>
            <w:pPr>
              <w:spacing w:before="20" w:after="20"/>
            </w:pPr>
            <w:r/>
            <w:r>
              <w:rPr>
                <w:rFonts w:ascii="Verdana" w:hAnsi="Verdana"/>
                <w:b w:val="0"/>
                <w:sz w:val="16"/>
              </w:rPr>
              <w:t>Deuxième coordonnée polaire normalisée dérivée des coefficients de Fourier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0 22 090</w:t>
            </w:r>
          </w:p>
        </w:tc>
        <w:tc>
          <w:tcPr>
            <w:tcW w:type="dxa" w:w="1514"/>
          </w:tcPr>
          <w:p>
            <w:pPr>
              <w:spacing w:before="20" w:after="20"/>
            </w:pPr>
            <w:r/>
            <w:r>
              <w:rPr>
                <w:rFonts w:ascii="Verdana" w:hAnsi="Verdana"/>
                <w:b w:val="0"/>
                <w:sz w:val="16"/>
              </w:rPr>
              <w:t>Estimation du spectre non directionnel par fréquence d'ondes</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0 22 091</w:t>
            </w:r>
          </w:p>
        </w:tc>
        <w:tc>
          <w:tcPr>
            <w:tcW w:type="dxa" w:w="1514"/>
          </w:tcPr>
          <w:p>
            <w:pPr>
              <w:spacing w:before="20" w:after="20"/>
            </w:pPr>
            <w:r/>
            <w:r>
              <w:rPr>
                <w:rFonts w:ascii="Verdana" w:hAnsi="Verdana"/>
                <w:b w:val="0"/>
                <w:sz w:val="16"/>
              </w:rPr>
              <w:t>Estimation du spectre non directionnel par nombre d'ondes</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0 22 092</w:t>
            </w:r>
          </w:p>
        </w:tc>
        <w:tc>
          <w:tcPr>
            <w:tcW w:type="dxa" w:w="1514"/>
          </w:tcPr>
          <w:p>
            <w:pPr>
              <w:spacing w:before="20" w:after="20"/>
            </w:pPr>
            <w:r/>
            <w:r>
              <w:rPr>
                <w:rFonts w:ascii="Verdana" w:hAnsi="Verdana"/>
                <w:b w:val="0"/>
                <w:sz w:val="16"/>
              </w:rPr>
              <w:t>Estimation du spectre directionnel par fréquence d'ondes</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rad</w:t>
            </w:r>
            <w:r>
              <w:rPr>
                <w:rFonts w:ascii="Verdana" w:hAnsi="Verdana"/>
                <w:sz w:val="16"/>
                <w:vertAlign w:val="superscript"/>
              </w:rPr>
              <w:t>-1</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rad</w:t>
            </w:r>
            <w:r>
              <w:rPr>
                <w:rFonts w:ascii="Verdana" w:hAnsi="Verdana"/>
                <w:sz w:val="16"/>
                <w:vertAlign w:val="superscript"/>
              </w:rPr>
              <w:t>-1</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0 22 093</w:t>
            </w:r>
          </w:p>
        </w:tc>
        <w:tc>
          <w:tcPr>
            <w:tcW w:type="dxa" w:w="1514"/>
          </w:tcPr>
          <w:p>
            <w:pPr>
              <w:spacing w:before="20" w:after="20"/>
            </w:pPr>
            <w:r/>
            <w:r>
              <w:rPr>
                <w:rFonts w:ascii="Verdana" w:hAnsi="Verdana"/>
                <w:b w:val="0"/>
                <w:sz w:val="16"/>
              </w:rPr>
              <w:t>Estimation du spectre directionnel par nombre d'ondes</w:t>
            </w:r>
          </w:p>
        </w:tc>
        <w:tc>
          <w:tcPr>
            <w:tcW w:type="dxa" w:w="1514"/>
          </w:tcPr>
          <w:p>
            <w:pPr>
              <w:spacing w:before="20" w:after="20"/>
            </w:pPr>
            <w:r/>
            <w:r>
              <w:rPr>
                <w:rFonts w:ascii="Verdana" w:hAnsi="Verdana"/>
                <w:sz w:val="16"/>
              </w:rPr>
              <w:t>4 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4 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0 22 094</w:t>
            </w:r>
          </w:p>
        </w:tc>
        <w:tc>
          <w:tcPr>
            <w:tcW w:type="dxa" w:w="1514"/>
          </w:tcPr>
          <w:p>
            <w:pPr>
              <w:spacing w:before="20" w:after="20"/>
            </w:pPr>
            <w:r/>
            <w:r>
              <w:rPr>
                <w:rFonts w:ascii="Verdana" w:hAnsi="Verdana"/>
                <w:b w:val="0"/>
                <w:sz w:val="16"/>
              </w:rPr>
              <w:t>Nombre total de bandes d'ondes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0 22 095</w:t>
            </w:r>
          </w:p>
        </w:tc>
        <w:tc>
          <w:tcPr>
            <w:tcW w:type="dxa" w:w="1514"/>
          </w:tcPr>
          <w:p>
            <w:pPr>
              <w:spacing w:before="20" w:after="20"/>
            </w:pPr>
            <w:r/>
            <w:r>
              <w:rPr>
                <w:rFonts w:ascii="Verdana" w:hAnsi="Verdana"/>
                <w:b w:val="0"/>
                <w:sz w:val="16"/>
              </w:rPr>
              <w:t>Dispersion directionnelle de chaque vague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0 22 096</w:t>
            </w:r>
          </w:p>
        </w:tc>
        <w:tc>
          <w:tcPr>
            <w:tcW w:type="dxa" w:w="1514"/>
          </w:tcPr>
          <w:p>
            <w:pPr>
              <w:spacing w:before="20" w:after="20"/>
            </w:pPr>
            <w:r/>
            <w:r>
              <w:rPr>
                <w:rFonts w:ascii="Verdana" w:hAnsi="Verdana"/>
                <w:b w:val="0"/>
                <w:sz w:val="16"/>
              </w:rPr>
              <w:t>Largeur spectrale des bandes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0 22 097</w:t>
            </w:r>
          </w:p>
        </w:tc>
        <w:tc>
          <w:tcPr>
            <w:tcW w:type="dxa" w:w="1514"/>
          </w:tcPr>
          <w:p>
            <w:pPr>
              <w:spacing w:before="20" w:after="20"/>
            </w:pPr>
            <w:r/>
            <w:r>
              <w:rPr>
                <w:rFonts w:ascii="Verdana" w:hAnsi="Verdana"/>
                <w:b w:val="0"/>
                <w:sz w:val="16"/>
              </w:rPr>
              <w:t>Longueur d'onde moyenne du spectre de l'image aux petits nombres d'ondes (longueur d'onde &gt; 731 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107: Information complémentaire 0 22 097 échelle des valeurs en entrée: 0 – 10000 0 22 098 échelle des valeurs en entrée: 0 – 10000 0 22 099 échelle des valeurs en entrée: 0 – 359 0 22 100 échelle des valeurs en entrée: 0 – 359 0 22 101 échelle des valeurs en entrée: 0 – 2 x 10 6 ; mais, étant donné les incertitudes, la valeur peut être supérieure.</w:t>
            </w:r>
          </w:p>
        </w:tc>
      </w:tr>
      <w:tr>
        <w:trPr>
          <w:cantSplit/>
        </w:trPr>
        <w:tc>
          <w:tcPr>
            <w:tcW w:type="dxa" w:w="1514"/>
          </w:tcPr>
          <w:p>
            <w:pPr>
              <w:spacing w:before="20" w:after="20"/>
            </w:pPr>
            <w:r/>
            <w:r>
              <w:rPr>
                <w:rFonts w:ascii="Verdana" w:hAnsi="Verdana"/>
                <w:b w:val="0"/>
                <w:sz w:val="16"/>
              </w:rPr>
              <w:t>0 22 098</w:t>
            </w:r>
          </w:p>
        </w:tc>
        <w:tc>
          <w:tcPr>
            <w:tcW w:type="dxa" w:w="1514"/>
          </w:tcPr>
          <w:p>
            <w:pPr>
              <w:spacing w:before="20" w:after="20"/>
            </w:pPr>
            <w:r/>
            <w:r>
              <w:rPr>
                <w:rFonts w:ascii="Verdana" w:hAnsi="Verdana"/>
                <w:b w:val="0"/>
                <w:sz w:val="16"/>
              </w:rPr>
              <w:t>Dispersion en longueur d'onde aux petits nombres d'ondes (longueur d'onde &gt; 731 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107: Information complémentaire 0 22 097 échelle des valeurs en entrée: 0 – 10000 0 22 098 échelle des valeurs en entrée: 0 – 10000 0 22 099 échelle des valeurs en entrée: 0 – 359 0 22 100 échelle des valeurs en entrée: 0 – 359 0 22 101 échelle des valeurs en entrée: 0 – 2 x 10 6 ; mais, étant donné les incertitudes, la valeur peut être supérieure.</w:t>
            </w:r>
          </w:p>
        </w:tc>
      </w:tr>
      <w:tr>
        <w:trPr>
          <w:cantSplit/>
        </w:trPr>
        <w:tc>
          <w:tcPr>
            <w:tcW w:type="dxa" w:w="1514"/>
          </w:tcPr>
          <w:p>
            <w:pPr>
              <w:spacing w:before="20" w:after="20"/>
            </w:pPr>
            <w:r/>
            <w:r>
              <w:rPr>
                <w:rFonts w:ascii="Verdana" w:hAnsi="Verdana"/>
                <w:b w:val="0"/>
                <w:sz w:val="16"/>
              </w:rPr>
              <w:t>0 22 099</w:t>
            </w:r>
          </w:p>
        </w:tc>
        <w:tc>
          <w:tcPr>
            <w:tcW w:type="dxa" w:w="1514"/>
          </w:tcPr>
          <w:p>
            <w:pPr>
              <w:spacing w:before="20" w:after="20"/>
            </w:pPr>
            <w:r/>
            <w:r>
              <w:rPr>
                <w:rFonts w:ascii="Verdana" w:hAnsi="Verdana"/>
                <w:b w:val="0"/>
                <w:sz w:val="16"/>
              </w:rPr>
              <w:t>Direction moyenne aux petits nombres d'ondes (longueur d'onde &gt; 731 m)</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107: Information complémentaire 0 22 097 échelle des valeurs en entrée: 0 – 10000 0 22 098 échelle des valeurs en entrée: 0 – 10000 0 22 099 échelle des valeurs en entrée: 0 – 359 0 22 100 échelle des valeurs en entrée: 0 – 359 0 22 101 échelle des valeurs en entrée: 0 – 2 x 10 6 ; mais, étant donné les incertitudes, la valeur peut être supérieure.</w:t>
            </w:r>
          </w:p>
        </w:tc>
      </w:tr>
      <w:tr>
        <w:trPr>
          <w:cantSplit/>
        </w:trPr>
        <w:tc>
          <w:tcPr>
            <w:tcW w:type="dxa" w:w="1514"/>
          </w:tcPr>
          <w:p>
            <w:pPr>
              <w:spacing w:before="20" w:after="20"/>
            </w:pPr>
            <w:r/>
            <w:r>
              <w:rPr>
                <w:rFonts w:ascii="Verdana" w:hAnsi="Verdana"/>
                <w:b w:val="0"/>
                <w:sz w:val="16"/>
              </w:rPr>
              <w:t>0 22 100</w:t>
            </w:r>
          </w:p>
        </w:tc>
        <w:tc>
          <w:tcPr>
            <w:tcW w:type="dxa" w:w="1514"/>
          </w:tcPr>
          <w:p>
            <w:pPr>
              <w:spacing w:before="20" w:after="20"/>
            </w:pPr>
            <w:r/>
            <w:r>
              <w:rPr>
                <w:rFonts w:ascii="Verdana" w:hAnsi="Verdana"/>
                <w:b w:val="0"/>
                <w:sz w:val="16"/>
              </w:rPr>
              <w:t>Dispersion en direction aux petits nombres d'ondes (longueur d'onde &gt; 731 m)</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107: Information complémentaire 0 22 097 échelle des valeurs en entrée: 0 – 10000 0 22 098 échelle des valeurs en entrée: 0 – 10000 0 22 099 échelle des valeurs en entrée: 0 – 359 0 22 100 échelle des valeurs en entrée: 0 – 359 0 22 101 échelle des valeurs en entrée: 0 – 2 x 10 6 ; mais, étant donné les incertitudes, la valeur peut être supérieure.</w:t>
            </w:r>
          </w:p>
        </w:tc>
      </w:tr>
      <w:tr>
        <w:trPr>
          <w:cantSplit/>
        </w:trPr>
        <w:tc>
          <w:tcPr>
            <w:tcW w:type="dxa" w:w="1514"/>
          </w:tcPr>
          <w:p>
            <w:pPr>
              <w:spacing w:before="20" w:after="20"/>
            </w:pPr>
            <w:r/>
            <w:r>
              <w:rPr>
                <w:rFonts w:ascii="Verdana" w:hAnsi="Verdana"/>
                <w:b w:val="0"/>
                <w:sz w:val="16"/>
              </w:rPr>
              <w:t>0 22 101</w:t>
            </w:r>
          </w:p>
        </w:tc>
        <w:tc>
          <w:tcPr>
            <w:tcW w:type="dxa" w:w="1514"/>
          </w:tcPr>
          <w:p>
            <w:pPr>
              <w:spacing w:before="20" w:after="20"/>
            </w:pPr>
            <w:r/>
            <w:r>
              <w:rPr>
                <w:rFonts w:ascii="Verdana" w:hAnsi="Verdana"/>
                <w:b w:val="0"/>
                <w:sz w:val="16"/>
              </w:rPr>
              <w:t>Énergie totale aux petits nombres d'ondes (longueur d'onde &gt; 731 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107: Information complémentaire 0 22 097 échelle des valeurs en entrée: 0 – 10000 0 22 098 échelle des valeurs en entrée: 0 – 10000 0 22 099 échelle des valeurs en entrée: 0 – 359 0 22 100 échelle des valeurs en entrée: 0 – 359 0 22 101 échelle des valeurs en entrée: 0 – 2 x 10 6 ; mais, étant donné les incertitudes, la valeur peut être supérieure.</w:t>
            </w:r>
          </w:p>
        </w:tc>
      </w:tr>
      <w:tr>
        <w:trPr>
          <w:cantSplit/>
        </w:trPr>
        <w:tc>
          <w:tcPr>
            <w:tcW w:type="dxa" w:w="1514"/>
          </w:tcPr>
          <w:p>
            <w:pPr>
              <w:spacing w:before="20" w:after="20"/>
            </w:pPr>
            <w:r/>
            <w:r>
              <w:rPr>
                <w:rFonts w:ascii="Verdana" w:hAnsi="Verdana"/>
                <w:b w:val="0"/>
                <w:sz w:val="16"/>
              </w:rPr>
              <w:t>0 22 102</w:t>
            </w:r>
          </w:p>
        </w:tc>
        <w:tc>
          <w:tcPr>
            <w:tcW w:type="dxa" w:w="1514"/>
          </w:tcPr>
          <w:p>
            <w:pPr>
              <w:spacing w:before="20" w:after="20"/>
            </w:pPr>
            <w:r/>
            <w:r>
              <w:rPr>
                <w:rFonts w:ascii="Verdana" w:hAnsi="Verdana"/>
                <w:b w:val="0"/>
                <w:sz w:val="16"/>
              </w:rPr>
              <w:t>Densité maximale d'ondes à spectres non directionnels, pondérée en fonction de la fréquence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Doit être précédé du descripteur 0 08 090, avec, le cas échéant, l’intervention d’opérateurs. La valeur est de 10 x multiplié par la valeur chiffrée, où x est égal à la valeur associée au descripteur 0 08 090 précédent. La valeur chiffrée est la valeur réelle multipliée par 10 –x .</w:t>
            </w:r>
          </w:p>
        </w:tc>
      </w:tr>
      <w:tr>
        <w:trPr>
          <w:cantSplit/>
        </w:trPr>
        <w:tc>
          <w:tcPr>
            <w:tcW w:type="dxa" w:w="1514"/>
          </w:tcPr>
          <w:p>
            <w:pPr>
              <w:spacing w:before="20" w:after="20"/>
            </w:pPr>
            <w:r/>
            <w:r>
              <w:rPr>
                <w:rFonts w:ascii="Verdana" w:hAnsi="Verdana"/>
                <w:b w:val="0"/>
                <w:sz w:val="16"/>
              </w:rPr>
              <w:t>0 22 103</w:t>
            </w:r>
          </w:p>
        </w:tc>
        <w:tc>
          <w:tcPr>
            <w:tcW w:type="dxa" w:w="1514"/>
          </w:tcPr>
          <w:p>
            <w:pPr>
              <w:spacing w:before="20" w:after="20"/>
            </w:pPr>
            <w:r/>
            <w:r>
              <w:rPr>
                <w:rFonts w:ascii="Verdana" w:hAnsi="Verdana"/>
                <w:b w:val="0"/>
                <w:sz w:val="16"/>
              </w:rPr>
              <w:t>Densité maximale d'ondes à spectres non directionnels, pondérée en fonction du nombre d'ondes</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Doit être précédé du descripteur 0 08 090, avec, le cas échéant, l’intervention d’opérateurs. La valeur est de 10 x multiplié par la valeur chiffrée, où x est égal à la valeur associée au descripteur 0 08 090 précédent. La valeur chiffrée est la valeur réelle multipliée par 10 –x .</w:t>
            </w:r>
          </w:p>
        </w:tc>
      </w:tr>
      <w:tr>
        <w:trPr>
          <w:cantSplit/>
        </w:trPr>
        <w:tc>
          <w:tcPr>
            <w:tcW w:type="dxa" w:w="1514"/>
          </w:tcPr>
          <w:p>
            <w:pPr>
              <w:spacing w:before="20" w:after="20"/>
            </w:pPr>
            <w:r/>
            <w:r>
              <w:rPr>
                <w:rFonts w:ascii="Verdana" w:hAnsi="Verdana"/>
                <w:b w:val="0"/>
                <w:sz w:val="16"/>
              </w:rPr>
              <w:t>0 22 104</w:t>
            </w:r>
          </w:p>
        </w:tc>
        <w:tc>
          <w:tcPr>
            <w:tcW w:type="dxa" w:w="1514"/>
          </w:tcPr>
          <w:p>
            <w:pPr>
              <w:spacing w:before="20" w:after="20"/>
            </w:pPr>
            <w:r/>
            <w:r>
              <w:rPr>
                <w:rFonts w:ascii="Verdana" w:hAnsi="Verdana"/>
                <w:b w:val="0"/>
                <w:sz w:val="16"/>
              </w:rPr>
              <w:t>Densité d'ondes à spectres non directionnels, pondérée en fonction de la fréquence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Doit être précédé du descripteur 0 08 090, avec, le cas échéant, l’intervention d’opérateurs. La valeur est de 10 x multiplié par la valeur chiffrée, où x est égal à la valeur associée au descripteur 0 08 090 précédent. La valeur chiffrée est la valeur réelle multipliée par 10 –x .</w:t>
            </w:r>
          </w:p>
        </w:tc>
      </w:tr>
      <w:tr>
        <w:trPr>
          <w:cantSplit/>
        </w:trPr>
        <w:tc>
          <w:tcPr>
            <w:tcW w:type="dxa" w:w="1514"/>
          </w:tcPr>
          <w:p>
            <w:pPr>
              <w:spacing w:before="20" w:after="20"/>
            </w:pPr>
            <w:r/>
            <w:r>
              <w:rPr>
                <w:rFonts w:ascii="Verdana" w:hAnsi="Verdana"/>
                <w:b w:val="0"/>
                <w:sz w:val="16"/>
              </w:rPr>
              <w:t>0 22 105</w:t>
            </w:r>
          </w:p>
        </w:tc>
        <w:tc>
          <w:tcPr>
            <w:tcW w:type="dxa" w:w="1514"/>
          </w:tcPr>
          <w:p>
            <w:pPr>
              <w:spacing w:before="20" w:after="20"/>
            </w:pPr>
            <w:r/>
            <w:r>
              <w:rPr>
                <w:rFonts w:ascii="Verdana" w:hAnsi="Verdana"/>
                <w:b w:val="0"/>
                <w:sz w:val="16"/>
              </w:rPr>
              <w:t>Densité d'ondes à spectres non directionnels, pondérée en fonction du nombre d'ondes</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Doit être précédé du descripteur 0 08 090, avec, le cas échéant, l’intervention d’opérateurs. La valeur est de 10 x multiplié par la valeur chiffrée, où x est égal à la valeur associée au descripteur 0 08 090 précédent. La valeur chiffrée est la valeur réelle multipliée par 10 –x .</w:t>
            </w:r>
          </w:p>
        </w:tc>
      </w:tr>
      <w:tr>
        <w:trPr>
          <w:cantSplit/>
        </w:trPr>
        <w:tc>
          <w:tcPr>
            <w:tcW w:type="dxa" w:w="1514"/>
          </w:tcPr>
          <w:p>
            <w:pPr>
              <w:spacing w:before="20" w:after="20"/>
            </w:pPr>
            <w:r/>
            <w:r>
              <w:rPr>
                <w:rFonts w:ascii="Verdana" w:hAnsi="Verdana"/>
                <w:b w:val="0"/>
                <w:sz w:val="16"/>
              </w:rPr>
              <w:t>0 22 106</w:t>
            </w:r>
          </w:p>
        </w:tc>
        <w:tc>
          <w:tcPr>
            <w:tcW w:type="dxa" w:w="1514"/>
          </w:tcPr>
          <w:p>
            <w:pPr>
              <w:spacing w:before="20" w:after="20"/>
            </w:pPr>
            <w:r/>
            <w:r>
              <w:rPr>
                <w:rFonts w:ascii="Verdana" w:hAnsi="Verdana"/>
                <w:b w:val="0"/>
                <w:sz w:val="16"/>
              </w:rPr>
              <w:t>Densité d'ondes à spectres directionnels, pondérée en fonction de la fréquence</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 rad</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 rad</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Doit être précédé du descripteur 0 08 090, avec, le cas échéant, l’intervention d’opérateurs. La valeur est de 10 x multiplié par la valeur chiffrée, où x est égal à la valeur associée au descripteur 0 08 090 précédent. La valeur chiffrée est la valeur réelle multipliée par 10 –x .</w:t>
            </w:r>
          </w:p>
        </w:tc>
      </w:tr>
      <w:tr>
        <w:trPr>
          <w:cantSplit/>
        </w:trPr>
        <w:tc>
          <w:tcPr>
            <w:tcW w:type="dxa" w:w="1514"/>
          </w:tcPr>
          <w:p>
            <w:pPr>
              <w:spacing w:before="20" w:after="20"/>
            </w:pPr>
            <w:r/>
            <w:r>
              <w:rPr>
                <w:rFonts w:ascii="Verdana" w:hAnsi="Verdana"/>
                <w:b w:val="0"/>
                <w:sz w:val="16"/>
              </w:rPr>
              <w:t>0 22 107</w:t>
            </w:r>
          </w:p>
        </w:tc>
        <w:tc>
          <w:tcPr>
            <w:tcW w:type="dxa" w:w="1514"/>
          </w:tcPr>
          <w:p>
            <w:pPr>
              <w:spacing w:before="20" w:after="20"/>
            </w:pPr>
            <w:r/>
            <w:r>
              <w:rPr>
                <w:rFonts w:ascii="Verdana" w:hAnsi="Verdana"/>
                <w:b w:val="0"/>
                <w:sz w:val="16"/>
              </w:rPr>
              <w:t>Densité d'ondes à spectres directionnels, pondérée en fonction du nombre d'ondes</w:t>
            </w:r>
          </w:p>
        </w:tc>
        <w:tc>
          <w:tcPr>
            <w:tcW w:type="dxa" w:w="1514"/>
          </w:tcPr>
          <w:p>
            <w:pPr>
              <w:spacing w:before="20" w:after="20"/>
            </w:pPr>
            <w:r/>
            <w:r>
              <w:rPr>
                <w:rFonts w:ascii="Verdana" w:hAnsi="Verdana"/>
                <w:sz w:val="16"/>
              </w:rPr>
              <w:t>4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4 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Doit être précédé du descripteur 0 08 090, avec, le cas échéant, l’intervention d’opérateurs. La valeur est de 10 x multiplié par la valeur chiffrée, où x est égal à la valeur associée au descripteur 0 08 090 précédent. La valeur chiffrée est la valeur réelle multipliée par 10 –x .</w:t>
            </w:r>
          </w:p>
        </w:tc>
      </w:tr>
      <w:tr>
        <w:trPr>
          <w:cantSplit/>
        </w:trPr>
        <w:tc>
          <w:tcPr>
            <w:tcW w:type="dxa" w:w="1514"/>
          </w:tcPr>
          <w:p>
            <w:pPr>
              <w:spacing w:before="20" w:after="20"/>
            </w:pPr>
            <w:r/>
            <w:r>
              <w:rPr>
                <w:rFonts w:ascii="Verdana" w:hAnsi="Verdana"/>
                <w:b w:val="0"/>
                <w:sz w:val="16"/>
              </w:rPr>
              <w:t>0 22 108</w:t>
            </w:r>
          </w:p>
        </w:tc>
        <w:tc>
          <w:tcPr>
            <w:tcW w:type="dxa" w:w="1514"/>
          </w:tcPr>
          <w:p>
            <w:pPr>
              <w:spacing w:before="20" w:after="20"/>
            </w:pPr>
            <w:r/>
            <w:r>
              <w:rPr>
                <w:rFonts w:ascii="Verdana" w:hAnsi="Verdana"/>
                <w:b w:val="0"/>
                <w:sz w:val="16"/>
              </w:rPr>
              <w:t>Rapport de densité d'ondes à spectres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0 22 120</w:t>
            </w:r>
          </w:p>
        </w:tc>
        <w:tc>
          <w:tcPr>
            <w:tcW w:type="dxa" w:w="1514"/>
          </w:tcPr>
          <w:p>
            <w:pPr>
              <w:spacing w:before="20" w:after="20"/>
            </w:pPr>
            <w:r/>
            <w:r>
              <w:rPr>
                <w:rFonts w:ascii="Verdana" w:hAnsi="Verdana"/>
                <w:b w:val="0"/>
                <w:sz w:val="16"/>
              </w:rPr>
              <w:t>Vérification automatique du niveau d'eau à la station d'observation des marées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0 22 121</w:t>
            </w:r>
          </w:p>
        </w:tc>
        <w:tc>
          <w:tcPr>
            <w:tcW w:type="dxa" w:w="1514"/>
          </w:tcPr>
          <w:p>
            <w:pPr>
              <w:spacing w:before="20" w:after="20"/>
            </w:pPr>
            <w:r/>
            <w:r>
              <w:rPr>
                <w:rFonts w:ascii="Verdana" w:hAnsi="Verdana"/>
                <w:b w:val="0"/>
                <w:sz w:val="16"/>
              </w:rPr>
              <w:t>Vérification manuelle du niveau d'eau à la station d'observation des marées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0 22 122</w:t>
            </w:r>
          </w:p>
        </w:tc>
        <w:tc>
          <w:tcPr>
            <w:tcW w:type="dxa" w:w="1514"/>
          </w:tcPr>
          <w:p>
            <w:pPr>
              <w:spacing w:before="20" w:after="20"/>
            </w:pPr>
            <w:r/>
            <w:r>
              <w:rPr>
                <w:rFonts w:ascii="Verdana" w:hAnsi="Verdana"/>
                <w:b w:val="0"/>
                <w:sz w:val="16"/>
              </w:rPr>
              <w:t>Vérification automatique des données météorologiques à la station d'observation des marées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0 22 123</w:t>
            </w:r>
          </w:p>
        </w:tc>
        <w:tc>
          <w:tcPr>
            <w:tcW w:type="dxa" w:w="1514"/>
          </w:tcPr>
          <w:p>
            <w:pPr>
              <w:spacing w:before="20" w:after="20"/>
            </w:pPr>
            <w:r/>
            <w:r>
              <w:rPr>
                <w:rFonts w:ascii="Verdana" w:hAnsi="Verdana"/>
                <w:b w:val="0"/>
                <w:sz w:val="16"/>
              </w:rPr>
              <w:t>Vérification manuelle des données météorologiques à la station d'observation des marées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0 22 130</w:t>
            </w:r>
          </w:p>
        </w:tc>
        <w:tc>
          <w:tcPr>
            <w:tcW w:type="dxa" w:w="1514"/>
          </w:tcPr>
          <w:p>
            <w:pPr>
              <w:spacing w:before="20" w:after="20"/>
            </w:pPr>
            <w:r/>
            <w:r>
              <w:rPr>
                <w:rFonts w:ascii="Verdana" w:hAnsi="Verdana"/>
                <w:b w:val="0"/>
                <w:sz w:val="16"/>
              </w:rPr>
              <w:t>Nombre de points corrects dans une bande précise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0 22 131</w:t>
            </w:r>
          </w:p>
        </w:tc>
        <w:tc>
          <w:tcPr>
            <w:tcW w:type="dxa" w:w="1514"/>
          </w:tcPr>
          <w:p>
            <w:pPr>
              <w:spacing w:before="20" w:after="20"/>
            </w:pPr>
            <w:r/>
            <w:r>
              <w:rPr>
                <w:rFonts w:ascii="Verdana" w:hAnsi="Verdana"/>
                <w:b w:val="0"/>
                <w:sz w:val="16"/>
              </w:rPr>
              <w:t>Moyenne quadratique de la hauteur significative des vagues dans une bande précise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0 22 132</w:t>
            </w:r>
          </w:p>
        </w:tc>
        <w:tc>
          <w:tcPr>
            <w:tcW w:type="dxa" w:w="1514"/>
          </w:tcPr>
          <w:p>
            <w:pPr>
              <w:spacing w:before="20" w:after="20"/>
            </w:pPr>
            <w:r/>
            <w:r>
              <w:rPr>
                <w:rFonts w:ascii="Verdana" w:hAnsi="Verdana"/>
                <w:b w:val="0"/>
                <w:sz w:val="16"/>
              </w:rPr>
              <w:t>Nombre de points corrects de la hauteur significative des vagues dans une bande précise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0 22 133</w:t>
            </w:r>
          </w:p>
        </w:tc>
        <w:tc>
          <w:tcPr>
            <w:tcW w:type="dxa" w:w="1514"/>
          </w:tcPr>
          <w:p>
            <w:pPr>
              <w:spacing w:before="20" w:after="20"/>
            </w:pPr>
            <w:r/>
            <w:r>
              <w:rPr>
                <w:rFonts w:ascii="Verdana" w:hAnsi="Verdana"/>
                <w:b w:val="0"/>
                <w:sz w:val="16"/>
              </w:rPr>
              <w:t>Correction finale de l'erreur instrumentale pour la hauteur significative des vagues dans une bande précise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0 22 134</w:t>
            </w:r>
          </w:p>
        </w:tc>
        <w:tc>
          <w:tcPr>
            <w:tcW w:type="dxa" w:w="1514"/>
          </w:tcPr>
          <w:p>
            <w:pPr>
              <w:spacing w:before="20" w:after="20"/>
            </w:pPr>
            <w:r/>
            <w:r>
              <w:rPr>
                <w:rFonts w:ascii="Verdana" w:hAnsi="Verdana"/>
                <w:b w:val="0"/>
                <w:sz w:val="16"/>
              </w:rPr>
              <w:t>Nombre de points corrects pour la rétrodiffusion dans une bande précise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0 22 141</w:t>
            </w:r>
          </w:p>
        </w:tc>
        <w:tc>
          <w:tcPr>
            <w:tcW w:type="dxa" w:w="1514"/>
          </w:tcPr>
          <w:p>
            <w:pPr>
              <w:spacing w:before="20" w:after="20"/>
            </w:pPr>
            <w:r/>
            <w:r>
              <w:rPr>
                <w:rFonts w:ascii="Verdana" w:hAnsi="Verdana"/>
                <w:b w:val="0"/>
                <w:sz w:val="16"/>
              </w:rPr>
              <w:t>Température de surface de la mer (moyenne mobile sur 15 jours)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0 22 142</w:t>
            </w:r>
          </w:p>
        </w:tc>
        <w:tc>
          <w:tcPr>
            <w:tcW w:type="dxa" w:w="1514"/>
          </w:tcPr>
          <w:p>
            <w:pPr>
              <w:spacing w:before="20" w:after="20"/>
            </w:pPr>
            <w:r/>
            <w:r>
              <w:rPr>
                <w:rFonts w:ascii="Verdana" w:hAnsi="Verdana"/>
                <w:b w:val="0"/>
                <w:sz w:val="16"/>
              </w:rPr>
              <w:t>Carré de la hauteur significative des vagues</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-33554432</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0 22 143</w:t>
            </w:r>
          </w:p>
        </w:tc>
        <w:tc>
          <w:tcPr>
            <w:tcW w:type="dxa" w:w="1514"/>
          </w:tcPr>
          <w:p>
            <w:pPr>
              <w:spacing w:before="20" w:after="20"/>
            </w:pPr>
            <w:r/>
            <w:r>
              <w:rPr>
                <w:rFonts w:ascii="Verdana" w:hAnsi="Verdana"/>
                <w:b w:val="0"/>
                <w:sz w:val="16"/>
              </w:rPr>
              <w:t>Carré type de la hauteur significative des vagues à 20 Hz</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-8388608</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0 22 144</w:t>
            </w:r>
          </w:p>
        </w:tc>
        <w:tc>
          <w:tcPr>
            <w:tcW w:type="dxa" w:w="1514"/>
          </w:tcPr>
          <w:p>
            <w:pPr>
              <w:spacing w:before="20" w:after="20"/>
            </w:pPr>
            <w:r/>
            <w:r>
              <w:rPr>
                <w:rFonts w:ascii="Verdana" w:hAnsi="Verdana"/>
                <w:b w:val="0"/>
                <w:sz w:val="16"/>
              </w:rPr>
              <w:t>Nombre de points corrects à 20 Hz pour la hauteur significative des vagues au carré</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0 22 145</w:t>
            </w:r>
          </w:p>
        </w:tc>
        <w:tc>
          <w:tcPr>
            <w:tcW w:type="dxa" w:w="1514"/>
          </w:tcPr>
          <w:p>
            <w:pPr>
              <w:spacing w:before="20" w:after="20"/>
            </w:pPr>
            <w:r/>
            <w:r>
              <w:rPr>
                <w:rFonts w:ascii="Verdana" w:hAnsi="Verdana"/>
                <w:b w:val="0"/>
                <w:sz w:val="16"/>
              </w:rPr>
              <w:t>Intervalle océanique type à 20 Hz</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-33554432</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0 22 146</w:t>
            </w:r>
          </w:p>
        </w:tc>
        <w:tc>
          <w:tcPr>
            <w:tcW w:type="dxa" w:w="1514"/>
          </w:tcPr>
          <w:p>
            <w:pPr>
              <w:spacing w:before="20" w:after="20"/>
            </w:pPr>
            <w:r/>
            <w:r>
              <w:rPr>
                <w:rFonts w:ascii="Verdana" w:hAnsi="Verdana"/>
                <w:b w:val="0"/>
                <w:sz w:val="16"/>
              </w:rPr>
              <w:t>Intervalle pour centre de gravité excentré</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0 22 147</w:t>
            </w:r>
          </w:p>
        </w:tc>
        <w:tc>
          <w:tcPr>
            <w:tcW w:type="dxa" w:w="1514"/>
          </w:tcPr>
          <w:p>
            <w:pPr>
              <w:spacing w:before="20" w:after="20"/>
            </w:pPr>
            <w:r/>
            <w:r>
              <w:rPr>
                <w:rFonts w:ascii="Verdana" w:hAnsi="Verdana"/>
                <w:b w:val="0"/>
                <w:sz w:val="16"/>
              </w:rPr>
              <w:t>Intervalle type à 20 Hz pour centre de gravité excentré</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-8388608</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0 22 148</w:t>
            </w:r>
          </w:p>
        </w:tc>
        <w:tc>
          <w:tcPr>
            <w:tcW w:type="dxa" w:w="1514"/>
          </w:tcPr>
          <w:p>
            <w:pPr>
              <w:spacing w:before="20" w:after="20"/>
            </w:pPr>
            <w:r/>
            <w:r>
              <w:rPr>
                <w:rFonts w:ascii="Verdana" w:hAnsi="Verdana"/>
                <w:b w:val="0"/>
                <w:sz w:val="16"/>
              </w:rPr>
              <w:t>Nombre de points corrects à 20 Hz pour l'intervalle océanique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0 22 149</w:t>
            </w:r>
          </w:p>
        </w:tc>
        <w:tc>
          <w:tcPr>
            <w:tcW w:type="dxa" w:w="1514"/>
          </w:tcPr>
          <w:p>
            <w:pPr>
              <w:spacing w:before="20" w:after="20"/>
            </w:pPr>
            <w:r/>
            <w:r>
              <w:rPr>
                <w:rFonts w:ascii="Verdana" w:hAnsi="Verdana"/>
                <w:b w:val="0"/>
                <w:sz w:val="16"/>
              </w:rPr>
              <w:t>Hauteur significative des vagues au carré à 20 Hz</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-33554432</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0 22 150</w:t>
            </w:r>
          </w:p>
        </w:tc>
        <w:tc>
          <w:tcPr>
            <w:tcW w:type="dxa" w:w="1514"/>
          </w:tcPr>
          <w:p>
            <w:pPr>
              <w:spacing w:before="20" w:after="20"/>
            </w:pPr>
            <w:r/>
            <w:r>
              <w:rPr>
                <w:rFonts w:ascii="Verdana" w:hAnsi="Verdana"/>
                <w:b w:val="0"/>
                <w:sz w:val="16"/>
              </w:rPr>
              <w:t>Nombre de points corrects à 18 Hz en bande Ku</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0 22 151</w:t>
            </w:r>
          </w:p>
        </w:tc>
        <w:tc>
          <w:tcPr>
            <w:tcW w:type="dxa" w:w="1514"/>
          </w:tcPr>
          <w:p>
            <w:pPr>
              <w:spacing w:before="20" w:after="20"/>
            </w:pPr>
            <w:r/>
            <w:r>
              <w:rPr>
                <w:rFonts w:ascii="Verdana" w:hAnsi="Verdana"/>
                <w:b w:val="0"/>
                <w:sz w:val="16"/>
              </w:rPr>
              <w:t>Intervalle océanique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0 22 152</w:t>
            </w:r>
          </w:p>
        </w:tc>
        <w:tc>
          <w:tcPr>
            <w:tcW w:type="dxa" w:w="1514"/>
          </w:tcPr>
          <w:p>
            <w:pPr>
              <w:spacing w:before="20" w:after="20"/>
            </w:pPr>
            <w:r/>
            <w:r>
              <w:rPr>
                <w:rFonts w:ascii="Verdana" w:hAnsi="Verdana"/>
                <w:b w:val="0"/>
                <w:sz w:val="16"/>
              </w:rPr>
              <w:t>Intervalle océanique type à 18 Hz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0 22 153</w:t>
            </w:r>
          </w:p>
        </w:tc>
        <w:tc>
          <w:tcPr>
            <w:tcW w:type="dxa" w:w="1514"/>
          </w:tcPr>
          <w:p>
            <w:pPr>
              <w:spacing w:before="20" w:after="20"/>
            </w:pPr>
            <w:r/>
            <w:r>
              <w:rPr>
                <w:rFonts w:ascii="Verdana" w:hAnsi="Verdana"/>
                <w:b w:val="0"/>
                <w:sz w:val="16"/>
              </w:rPr>
              <w:t>Nombre de points corrects à 18 Hz en bande 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0 22 154</w:t>
            </w:r>
          </w:p>
        </w:tc>
        <w:tc>
          <w:tcPr>
            <w:tcW w:type="dxa" w:w="1514"/>
          </w:tcPr>
          <w:p>
            <w:pPr>
              <w:spacing w:before="20" w:after="20"/>
            </w:pPr>
            <w:r/>
            <w:r>
              <w:rPr>
                <w:rFonts w:ascii="Verdana" w:hAnsi="Verdana"/>
                <w:b w:val="0"/>
                <w:sz w:val="16"/>
              </w:rPr>
              <w:t>Intervalle océanique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0 22 155</w:t>
            </w:r>
          </w:p>
        </w:tc>
        <w:tc>
          <w:tcPr>
            <w:tcW w:type="dxa" w:w="1514"/>
          </w:tcPr>
          <w:p>
            <w:pPr>
              <w:spacing w:before="20" w:after="20"/>
            </w:pPr>
            <w:r/>
            <w:r>
              <w:rPr>
                <w:rFonts w:ascii="Verdana" w:hAnsi="Verdana"/>
                <w:b w:val="0"/>
                <w:sz w:val="16"/>
              </w:rPr>
              <w:t>Intervalle océanique type à 18 Hz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0 22 156</w:t>
            </w:r>
          </w:p>
        </w:tc>
        <w:tc>
          <w:tcPr>
            <w:tcW w:type="dxa" w:w="1514"/>
          </w:tcPr>
          <w:p>
            <w:pPr>
              <w:spacing w:before="20" w:after="20"/>
            </w:pPr>
            <w:r/>
            <w:r>
              <w:rPr>
                <w:rFonts w:ascii="Verdana" w:hAnsi="Verdana"/>
                <w:b w:val="0"/>
                <w:sz w:val="16"/>
              </w:rPr>
              <w:t>Hauteur significative des vagues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0 22 157</w:t>
            </w:r>
          </w:p>
        </w:tc>
        <w:tc>
          <w:tcPr>
            <w:tcW w:type="dxa" w:w="1514"/>
          </w:tcPr>
          <w:p>
            <w:pPr>
              <w:spacing w:before="20" w:after="20"/>
            </w:pPr>
            <w:r/>
            <w:r>
              <w:rPr>
                <w:rFonts w:ascii="Verdana" w:hAnsi="Verdana"/>
                <w:b w:val="0"/>
                <w:sz w:val="16"/>
              </w:rPr>
              <w:t>Intervalle océanique type à 18 Hz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0 22 158</w:t>
            </w:r>
          </w:p>
        </w:tc>
        <w:tc>
          <w:tcPr>
            <w:tcW w:type="dxa" w:w="1514"/>
          </w:tcPr>
          <w:p>
            <w:pPr>
              <w:spacing w:before="20" w:after="20"/>
            </w:pPr>
            <w:r/>
            <w:r>
              <w:rPr>
                <w:rFonts w:ascii="Verdana" w:hAnsi="Verdana"/>
                <w:b w:val="0"/>
                <w:sz w:val="16"/>
              </w:rPr>
              <w:t>Hauteur significative des vagues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0 22 159</w:t>
            </w:r>
          </w:p>
        </w:tc>
        <w:tc>
          <w:tcPr>
            <w:tcW w:type="dxa" w:w="1514"/>
          </w:tcPr>
          <w:p>
            <w:pPr>
              <w:spacing w:before="20" w:after="20"/>
            </w:pPr>
            <w:r/>
            <w:r>
              <w:rPr>
                <w:rFonts w:ascii="Verdana" w:hAnsi="Verdana"/>
                <w:b w:val="0"/>
                <w:sz w:val="16"/>
              </w:rPr>
              <w:t>Hauteur significative des vagues type à 18 Hz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0 22 160</w:t>
            </w:r>
          </w:p>
        </w:tc>
        <w:tc>
          <w:tcPr>
            <w:tcW w:type="dxa" w:w="1514"/>
          </w:tcPr>
          <w:p>
            <w:pPr>
              <w:spacing w:before="20" w:after="20"/>
            </w:pPr>
            <w:r/>
            <w:r>
              <w:rPr>
                <w:rFonts w:ascii="Verdana" w:hAnsi="Verdana"/>
                <w:b w:val="0"/>
                <w:sz w:val="16"/>
              </w:rPr>
              <w:t>Age de vague inverse normalisé</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0 22 161</w:t>
            </w:r>
          </w:p>
        </w:tc>
        <w:tc>
          <w:tcPr>
            <w:tcW w:type="dxa" w:w="1514"/>
          </w:tcPr>
          <w:p>
            <w:pPr>
              <w:spacing w:before="20" w:after="20"/>
            </w:pPr>
            <w:r/>
            <w:r>
              <w:rPr>
                <w:rFonts w:ascii="Verdana" w:hAnsi="Verdana"/>
                <w:b w:val="0"/>
                <w:sz w:val="16"/>
              </w:rPr>
              <w:t>Spectres des vagues</w:t>
            </w:r>
          </w:p>
        </w:tc>
        <w:tc>
          <w:tcPr>
            <w:tcW w:type="dxa" w:w="1514"/>
          </w:tcPr>
          <w:p>
            <w:pPr>
              <w:spacing w:before="20" w:after="20"/>
            </w:pPr>
            <w:r/>
            <w:r>
              <w:rPr>
                <w:rFonts w:ascii="Verdana" w:hAnsi="Verdana"/>
                <w:sz w:val="16"/>
              </w:rPr>
              <w:t>4 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27</w:t>
            </w:r>
          </w:p>
        </w:tc>
        <w:tc>
          <w:tcPr>
            <w:tcW w:type="dxa" w:w="1514"/>
          </w:tcPr>
          <w:p>
            <w:pPr>
              <w:spacing w:before="20" w:after="20"/>
            </w:pPr>
            <w:r/>
            <w:r>
              <w:rPr>
                <w:rFonts w:ascii="Verdana" w:hAnsi="Verdana"/>
                <w:sz w:val="16"/>
              </w:rPr>
              <w:t>4 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0 22 162</w:t>
            </w:r>
          </w:p>
        </w:tc>
        <w:tc>
          <w:tcPr>
            <w:tcW w:type="dxa" w:w="1514"/>
          </w:tcPr>
          <w:p>
            <w:pPr>
              <w:spacing w:before="20" w:after="20"/>
            </w:pPr>
            <w:r/>
            <w:r>
              <w:rPr>
                <w:rFonts w:ascii="Verdana" w:hAnsi="Verdana"/>
                <w:b w:val="0"/>
                <w:sz w:val="16"/>
              </w:rPr>
              <w:t>Moyenne quadratique de l'intervalle océanique à 20 Hz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0 22 163</w:t>
            </w:r>
          </w:p>
        </w:tc>
        <w:tc>
          <w:tcPr>
            <w:tcW w:type="dxa" w:w="1514"/>
          </w:tcPr>
          <w:p>
            <w:pPr>
              <w:spacing w:before="20" w:after="20"/>
            </w:pPr>
            <w:r/>
            <w:r>
              <w:rPr>
                <w:rFonts w:ascii="Verdana" w:hAnsi="Verdana"/>
                <w:b w:val="0"/>
                <w:sz w:val="16"/>
              </w:rPr>
              <w:t>Nombre de points corrects à 20 Hz en bande Ku</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0 22 164</w:t>
            </w:r>
          </w:p>
        </w:tc>
        <w:tc>
          <w:tcPr>
            <w:tcW w:type="dxa" w:w="1514"/>
          </w:tcPr>
          <w:p>
            <w:pPr>
              <w:spacing w:before="20" w:after="20"/>
            </w:pPr>
            <w:r/>
            <w:r>
              <w:rPr>
                <w:rFonts w:ascii="Verdana" w:hAnsi="Verdana"/>
                <w:b w:val="0"/>
                <w:sz w:val="16"/>
              </w:rPr>
              <w:t>Moyenne quadratique de la hauteur significative des vagues à 20 Hz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0 22 165</w:t>
            </w:r>
          </w:p>
        </w:tc>
        <w:tc>
          <w:tcPr>
            <w:tcW w:type="dxa" w:w="1514"/>
          </w:tcPr>
          <w:p>
            <w:pPr>
              <w:spacing w:before="20" w:after="20"/>
            </w:pPr>
            <w:r/>
            <w:r>
              <w:rPr>
                <w:rFonts w:ascii="Verdana" w:hAnsi="Verdana"/>
                <w:b w:val="0"/>
                <w:sz w:val="16"/>
              </w:rPr>
              <w:t>Nombre de points corrects à 20 Hz pour la hauteur significative des vagues en bande Ku</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0 22 166</w:t>
            </w:r>
          </w:p>
        </w:tc>
        <w:tc>
          <w:tcPr>
            <w:tcW w:type="dxa" w:w="1514"/>
          </w:tcPr>
          <w:p>
            <w:pPr>
              <w:spacing w:before="20" w:after="20"/>
            </w:pPr>
            <w:r/>
            <w:r>
              <w:rPr>
                <w:rFonts w:ascii="Verdana" w:hAnsi="Verdana"/>
                <w:b w:val="0"/>
                <w:sz w:val="16"/>
              </w:rPr>
              <w:t>Correction finale de l'erreur instrumentale pour la hauteur significative des vagues dans la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0 22 167</w:t>
            </w:r>
          </w:p>
        </w:tc>
        <w:tc>
          <w:tcPr>
            <w:tcW w:type="dxa" w:w="1514"/>
          </w:tcPr>
          <w:p>
            <w:pPr>
              <w:spacing w:before="20" w:after="20"/>
            </w:pPr>
            <w:r/>
            <w:r>
              <w:rPr>
                <w:rFonts w:ascii="Verdana" w:hAnsi="Verdana"/>
                <w:b w:val="0"/>
                <w:sz w:val="16"/>
              </w:rPr>
              <w:t>Nombre de points corrects de rétrodiffusion en bande Ku</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0 22 168</w:t>
            </w:r>
          </w:p>
        </w:tc>
        <w:tc>
          <w:tcPr>
            <w:tcW w:type="dxa" w:w="1514"/>
          </w:tcPr>
          <w:p>
            <w:pPr>
              <w:spacing w:before="20" w:after="20"/>
            </w:pPr>
            <w:r/>
            <w:r>
              <w:rPr>
                <w:rFonts w:ascii="Verdana" w:hAnsi="Verdana"/>
                <w:b w:val="0"/>
                <w:sz w:val="16"/>
              </w:rPr>
              <w:t>Intervalle océanique en bande C</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0 22 169</w:t>
            </w:r>
          </w:p>
        </w:tc>
        <w:tc>
          <w:tcPr>
            <w:tcW w:type="dxa" w:w="1514"/>
          </w:tcPr>
          <w:p>
            <w:pPr>
              <w:spacing w:before="20" w:after="20"/>
            </w:pPr>
            <w:r/>
            <w:r>
              <w:rPr>
                <w:rFonts w:ascii="Verdana" w:hAnsi="Verdana"/>
                <w:b w:val="0"/>
                <w:sz w:val="16"/>
              </w:rPr>
              <w:t>Moyenne quadratique de l'intervalle océanique en bande C</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0 22 170</w:t>
            </w:r>
          </w:p>
        </w:tc>
        <w:tc>
          <w:tcPr>
            <w:tcW w:type="dxa" w:w="1514"/>
          </w:tcPr>
          <w:p>
            <w:pPr>
              <w:spacing w:before="20" w:after="20"/>
            </w:pPr>
            <w:r/>
            <w:r>
              <w:rPr>
                <w:rFonts w:ascii="Verdana" w:hAnsi="Verdana"/>
                <w:b w:val="0"/>
                <w:sz w:val="16"/>
              </w:rPr>
              <w:t>Nombre de points corrects à 20 Hz en bande C</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0 22 171</w:t>
            </w:r>
          </w:p>
        </w:tc>
        <w:tc>
          <w:tcPr>
            <w:tcW w:type="dxa" w:w="1514"/>
          </w:tcPr>
          <w:p>
            <w:pPr>
              <w:spacing w:before="20" w:after="20"/>
            </w:pPr>
            <w:r/>
            <w:r>
              <w:rPr>
                <w:rFonts w:ascii="Verdana" w:hAnsi="Verdana"/>
                <w:b w:val="0"/>
                <w:sz w:val="16"/>
              </w:rPr>
              <w:t>Hauteur significative des vagues en bande C</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0 22 172</w:t>
            </w:r>
          </w:p>
        </w:tc>
        <w:tc>
          <w:tcPr>
            <w:tcW w:type="dxa" w:w="1514"/>
          </w:tcPr>
          <w:p>
            <w:pPr>
              <w:spacing w:before="20" w:after="20"/>
            </w:pPr>
            <w:r/>
            <w:r>
              <w:rPr>
                <w:rFonts w:ascii="Verdana" w:hAnsi="Verdana"/>
                <w:b w:val="0"/>
                <w:sz w:val="16"/>
              </w:rPr>
              <w:t>Moyenne quadratique de la hauteur significative des vagues à 20 Hz en bande C</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0 22 173</w:t>
            </w:r>
          </w:p>
        </w:tc>
        <w:tc>
          <w:tcPr>
            <w:tcW w:type="dxa" w:w="1514"/>
          </w:tcPr>
          <w:p>
            <w:pPr>
              <w:spacing w:before="20" w:after="20"/>
            </w:pPr>
            <w:r/>
            <w:r>
              <w:rPr>
                <w:rFonts w:ascii="Verdana" w:hAnsi="Verdana"/>
                <w:b w:val="0"/>
                <w:sz w:val="16"/>
              </w:rPr>
              <w:t>Nombre de points corrects à 20 Hz pour la hauteur significative des vagues en bande C</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0 22 174</w:t>
            </w:r>
          </w:p>
        </w:tc>
        <w:tc>
          <w:tcPr>
            <w:tcW w:type="dxa" w:w="1514"/>
          </w:tcPr>
          <w:p>
            <w:pPr>
              <w:spacing w:before="20" w:after="20"/>
            </w:pPr>
            <w:r/>
            <w:r>
              <w:rPr>
                <w:rFonts w:ascii="Verdana" w:hAnsi="Verdana"/>
                <w:b w:val="0"/>
                <w:sz w:val="16"/>
              </w:rPr>
              <w:t>Correction finale de l'erreur instrumentale pour la hauteur significative des vagues dans la bande C</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0 22 175</w:t>
            </w:r>
          </w:p>
        </w:tc>
        <w:tc>
          <w:tcPr>
            <w:tcW w:type="dxa" w:w="1514"/>
          </w:tcPr>
          <w:p>
            <w:pPr>
              <w:spacing w:before="20" w:after="20"/>
            </w:pPr>
            <w:r/>
            <w:r>
              <w:rPr>
                <w:rFonts w:ascii="Verdana" w:hAnsi="Verdana"/>
                <w:b w:val="0"/>
                <w:sz w:val="16"/>
              </w:rPr>
              <w:t>Nombre de points corrects de rétrodiffusion en bande C</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0 22 177</w:t>
            </w:r>
          </w:p>
        </w:tc>
        <w:tc>
          <w:tcPr>
            <w:tcW w:type="dxa" w:w="1514"/>
          </w:tcPr>
          <w:p>
            <w:pPr>
              <w:spacing w:before="20" w:after="20"/>
            </w:pPr>
            <w:r/>
            <w:r>
              <w:rPr>
                <w:rFonts w:ascii="Verdana" w:hAnsi="Verdana"/>
                <w:b w:val="0"/>
                <w:sz w:val="16"/>
              </w:rPr>
              <w:t>Altitude du lanceur de XBT/XCTD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0 22 178</w:t>
            </w:r>
          </w:p>
        </w:tc>
        <w:tc>
          <w:tcPr>
            <w:tcW w:type="dxa" w:w="1514"/>
          </w:tcPr>
          <w:p>
            <w:pPr>
              <w:spacing w:before="20" w:after="20"/>
            </w:pPr>
            <w:r/>
            <w:r>
              <w:rPr>
                <w:rFonts w:ascii="Verdana" w:hAnsi="Verdana"/>
                <w:b w:val="0"/>
                <w:sz w:val="16"/>
              </w:rPr>
              <w:t>Type de lanceur de XBT/XCTD</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0 22 182</w:t>
            </w:r>
          </w:p>
        </w:tc>
        <w:tc>
          <w:tcPr>
            <w:tcW w:type="dxa" w:w="1514"/>
          </w:tcPr>
          <w:p>
            <w:pPr>
              <w:spacing w:before="20" w:after="20"/>
            </w:pPr>
            <w:r/>
            <w:r>
              <w:rPr>
                <w:rFonts w:ascii="Verdana" w:hAnsi="Verdana"/>
                <w:b w:val="0"/>
                <w:sz w:val="16"/>
              </w:rPr>
              <w:t>Hauteur de la colonne d'eau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139: Les tsunamimètres du type de ceux utilisés dans les systèmes d’observation des grands fonds océaniques pour l’émission d’alertes aux tsunamis (DART II) PMEL sont mis en place à une profondeur maximale d’environ 6 000 m.</w:t>
            </w:r>
          </w:p>
        </w:tc>
      </w:tr>
      <w:tr>
        <w:trPr>
          <w:cantSplit/>
        </w:trPr>
        <w:tc>
          <w:tcPr>
            <w:tcW w:type="dxa" w:w="1514"/>
          </w:tcPr>
          <w:p>
            <w:pPr>
              <w:spacing w:before="20" w:after="20"/>
            </w:pPr>
            <w:r/>
            <w:r>
              <w:rPr>
                <w:rFonts w:ascii="Verdana" w:hAnsi="Verdana"/>
                <w:b w:val="0"/>
                <w:sz w:val="16"/>
              </w:rPr>
              <w:t>0 22 184</w:t>
            </w:r>
          </w:p>
        </w:tc>
        <w:tc>
          <w:tcPr>
            <w:tcW w:type="dxa" w:w="1514"/>
          </w:tcPr>
          <w:p>
            <w:pPr>
              <w:spacing w:before="20" w:after="20"/>
            </w:pPr>
            <w:r/>
            <w:r>
              <w:rPr>
                <w:rFonts w:ascii="Verdana" w:hAnsi="Verdana"/>
                <w:b w:val="0"/>
                <w:sz w:val="16"/>
              </w:rPr>
              <w:t>Écart de la hauteur de la colonne d'eau par rapport à la valeur de référence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0 22 185</w:t>
            </w:r>
          </w:p>
        </w:tc>
        <w:tc>
          <w:tcPr>
            <w:tcW w:type="dxa" w:w="1514"/>
          </w:tcPr>
          <w:p>
            <w:pPr>
              <w:spacing w:before="20" w:after="20"/>
            </w:pPr>
            <w:r/>
            <w:r>
              <w:rPr>
                <w:rFonts w:ascii="Verdana" w:hAnsi="Verdana"/>
                <w:b w:val="0"/>
                <w:sz w:val="16"/>
              </w:rPr>
              <w:t>Nombre de transmissions du BPR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0 22 186</w:t>
            </w:r>
          </w:p>
        </w:tc>
        <w:tc>
          <w:tcPr>
            <w:tcW w:type="dxa" w:w="1514"/>
          </w:tcPr>
          <w:p>
            <w:pPr>
              <w:spacing w:before="20" w:after="20"/>
            </w:pPr>
            <w:r/>
            <w:r>
              <w:rPr>
                <w:rFonts w:ascii="Verdana" w:hAnsi="Verdana"/>
                <w:b w:val="0"/>
                <w:sz w:val="16"/>
              </w:rPr>
              <w:t>Direction d'où viennent les vagues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 Ce facteur de répétition a pour valeur 1 lorsque la description porte sur un cercle ou un point et 2 lorsqu’elle porte sur une ligne. Dans le cas d’un polygone, la description se fait à l’aide d’une série d’au moins trois points contigus conformément à la note de la table de code 0 08 007.</w:t>
            </w:r>
          </w:p>
        </w:tc>
      </w:tr>
      <w:tr>
        <w:trPr>
          <w:cantSplit/>
        </w:trPr>
        <w:tc>
          <w:tcPr>
            <w:tcW w:type="dxa" w:w="1514"/>
          </w:tcPr>
          <w:p>
            <w:pPr>
              <w:spacing w:before="20" w:after="20"/>
            </w:pPr>
            <w:r/>
            <w:r>
              <w:rPr>
                <w:rFonts w:ascii="Verdana" w:hAnsi="Verdana"/>
                <w:b w:val="0"/>
                <w:sz w:val="16"/>
              </w:rPr>
              <w:t>0 22 187</w:t>
            </w:r>
          </w:p>
        </w:tc>
        <w:tc>
          <w:tcPr>
            <w:tcW w:type="dxa" w:w="1514"/>
          </w:tcPr>
          <w:p>
            <w:pPr>
              <w:spacing w:before="20" w:after="20"/>
            </w:pPr>
            <w:r/>
            <w:r>
              <w:rPr>
                <w:rFonts w:ascii="Verdana" w:hAnsi="Verdana"/>
                <w:b w:val="0"/>
                <w:sz w:val="16"/>
              </w:rPr>
              <w:t>Dispersion directionnelle de la vague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 Si des «valeurs substituées» sont indiquées, c'est que l'élément de données de la partie d'origine du message est vraisemblablement de mauvaise qualité. Cet élément est cependant conservé dans le message d'origine tel qu'il a été reçu; une valeur plus correcte a été introduite dans le message suivant l'opérateur de valeurs substituées. Si plusieurs substitutions sont à effectuer pour un même élément de données, elles doivent être placées dans un ordre tel que la première substitution se situe en premier, suivie de la substitution suivante, elle-même suivie de la suivante, etc. Ainsi, la «meilleure» valeur se trouvera à la fin de l'ensemble de valeurs substituées. Chaque valeur ou série de valeurs substituées est indiquée par la présence de l'opérateur 2 23 000.</w:t>
            </w:r>
          </w:p>
        </w:tc>
      </w:tr>
      <w:tr>
        <w:trPr>
          <w:cantSplit/>
        </w:trPr>
        <w:tc>
          <w:tcPr>
            <w:tcW w:type="dxa" w:w="1514"/>
          </w:tcPr>
          <w:p>
            <w:pPr>
              <w:spacing w:before="20" w:after="20"/>
            </w:pPr>
            <w:r/>
            <w:r>
              <w:rPr>
                <w:rFonts w:ascii="Verdana" w:hAnsi="Verdana"/>
                <w:b w:val="0"/>
                <w:sz w:val="16"/>
              </w:rPr>
              <w:t>0 22 188</w:t>
            </w:r>
          </w:p>
        </w:tc>
        <w:tc>
          <w:tcPr>
            <w:tcW w:type="dxa" w:w="1514"/>
          </w:tcPr>
          <w:p>
            <w:pPr>
              <w:spacing w:before="20" w:after="20"/>
            </w:pPr>
            <w:r/>
            <w:r>
              <w:rPr>
                <w:rFonts w:ascii="Verdana" w:hAnsi="Verdana"/>
                <w:b w:val="0"/>
                <w:sz w:val="16"/>
              </w:rPr>
              <w:t>Oxygène dissous</w:t>
            </w:r>
          </w:p>
        </w:tc>
        <w:tc>
          <w:tcPr>
            <w:tcW w:type="dxa" w:w="1514"/>
          </w:tcPr>
          <w:p>
            <w:pPr>
              <w:spacing w:before="20" w:after="20"/>
            </w:pPr>
            <w:r/>
            <w:r>
              <w:rPr>
                <w:rFonts w:ascii="Verdana" w:hAnsi="Verdana"/>
                <w:sz w:val="16"/>
              </w:rPr>
              <w:t>umol/kg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umol/kg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0 22 189</w:t>
            </w:r>
          </w:p>
        </w:tc>
        <w:tc>
          <w:tcPr>
            <w:tcW w:type="dxa" w:w="1514"/>
          </w:tcPr>
          <w:p>
            <w:pPr>
              <w:spacing w:before="20" w:after="20"/>
            </w:pPr>
            <w:r/>
            <w:r>
              <w:rPr>
                <w:rFonts w:ascii="Verdana" w:hAnsi="Verdana"/>
                <w:b w:val="0"/>
                <w:sz w:val="16"/>
              </w:rPr>
              <w:t>Intervalle océanique dans une bande précise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0 22 190</w:t>
            </w:r>
          </w:p>
        </w:tc>
        <w:tc>
          <w:tcPr>
            <w:tcW w:type="dxa" w:w="1514"/>
          </w:tcPr>
          <w:p>
            <w:pPr>
              <w:spacing w:before="20" w:after="20"/>
            </w:pPr>
            <w:r/>
            <w:r>
              <w:rPr>
                <w:rFonts w:ascii="Verdana" w:hAnsi="Verdana"/>
                <w:b w:val="0"/>
                <w:sz w:val="16"/>
              </w:rPr>
              <w:t>Hauteur significative des vagues dans une bande précise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0 22 191</w:t>
            </w:r>
          </w:p>
        </w:tc>
        <w:tc>
          <w:tcPr>
            <w:tcW w:type="dxa" w:w="1514"/>
          </w:tcPr>
          <w:p>
            <w:pPr>
              <w:spacing w:before="20" w:after="20"/>
            </w:pPr>
            <w:r/>
            <w:r>
              <w:rPr>
                <w:rFonts w:ascii="Verdana" w:hAnsi="Verdana"/>
                <w:b w:val="0"/>
                <w:sz w:val="16"/>
              </w:rPr>
              <w:t>Moyenne quadratique de l'intervalle océanique dans une bande précise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