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24 : Éléments radiologiques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0 24 001</w:t>
            </w:r>
          </w:p>
        </w:tc>
        <w:tc>
          <w:tcPr>
            <w:tcW w:type="dxa" w:w="1514"/>
          </w:tcPr>
          <w:p>
            <w:pPr>
              <w:spacing w:before="20" w:after="20"/>
            </w:pPr>
            <w:r/>
            <w:r>
              <w:rPr>
                <w:rFonts w:ascii="Verdana" w:hAnsi="Verdana"/>
                <w:b w:val="0"/>
                <w:sz w:val="16"/>
              </w:rPr>
              <w:t>Estimation de la quantité de radioactivité rejetée jusqu'a une heure donnée</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0 24 002</w:t>
            </w:r>
          </w:p>
        </w:tc>
        <w:tc>
          <w:tcPr>
            <w:tcW w:type="dxa" w:w="1514"/>
          </w:tcPr>
          <w:p>
            <w:pPr>
              <w:spacing w:before="20" w:after="20"/>
            </w:pPr>
            <w:r/>
            <w:r>
              <w:rPr>
                <w:rFonts w:ascii="Verdana" w:hAnsi="Verdana"/>
                <w:b w:val="0"/>
                <w:sz w:val="16"/>
              </w:rPr>
              <w:t>Rejet potentiel maximal estimé</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0 24 003</w:t>
            </w:r>
          </w:p>
        </w:tc>
        <w:tc>
          <w:tcPr>
            <w:tcW w:type="dxa" w:w="1514"/>
          </w:tcPr>
          <w:p>
            <w:pPr>
              <w:spacing w:before="20" w:after="20"/>
            </w:pPr>
            <w:r/>
            <w:r>
              <w:rPr>
                <w:rFonts w:ascii="Verdana" w:hAnsi="Verdana"/>
                <w:b w:val="0"/>
                <w:sz w:val="16"/>
              </w:rPr>
              <w:t>Composition du rejet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0 24 004</w:t>
            </w:r>
          </w:p>
        </w:tc>
        <w:tc>
          <w:tcPr>
            <w:tcW w:type="dxa" w:w="1514"/>
          </w:tcPr>
          <w:p>
            <w:pPr>
              <w:spacing w:before="20" w:after="20"/>
            </w:pPr>
            <w:r/>
            <w:r>
              <w:rPr>
                <w:rFonts w:ascii="Verdana" w:hAnsi="Verdana"/>
                <w:b w:val="0"/>
                <w:sz w:val="16"/>
              </w:rPr>
              <w:t>Nom de l'élément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0 24 005</w:t>
            </w:r>
          </w:p>
        </w:tc>
        <w:tc>
          <w:tcPr>
            <w:tcW w:type="dxa" w:w="1514"/>
          </w:tcPr>
          <w:p>
            <w:pPr>
              <w:spacing w:before="20" w:after="20"/>
            </w:pPr>
            <w:r/>
            <w:r>
              <w:rPr>
                <w:rFonts w:ascii="Verdana" w:hAnsi="Verdana"/>
                <w:b w:val="0"/>
                <w:sz w:val="16"/>
              </w:rPr>
              <w:t>Masse isotopique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0 24 011</w:t>
            </w:r>
          </w:p>
        </w:tc>
        <w:tc>
          <w:tcPr>
            <w:tcW w:type="dxa" w:w="1514"/>
          </w:tcPr>
          <w:p>
            <w:pPr>
              <w:spacing w:before="20" w:after="20"/>
            </w:pPr>
            <w:r/>
            <w:r>
              <w:rPr>
                <w:rFonts w:ascii="Verdana" w:hAnsi="Verdana"/>
                <w:b w:val="0"/>
                <w:sz w:val="16"/>
              </w:rPr>
              <w:t>Dose</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0 24 012</w:t>
            </w:r>
          </w:p>
        </w:tc>
        <w:tc>
          <w:tcPr>
            <w:tcW w:type="dxa" w:w="1514"/>
          </w:tcPr>
          <w:p>
            <w:pPr>
              <w:spacing w:before="20" w:after="20"/>
            </w:pPr>
            <w:r/>
            <w:r>
              <w:rPr>
                <w:rFonts w:ascii="Verdana" w:hAnsi="Verdana"/>
                <w:b w:val="0"/>
                <w:sz w:val="16"/>
              </w:rPr>
              <w:t>Trajectoire et dose (position définie et heure d'arrivée prévue)</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0 24 013</w:t>
            </w:r>
          </w:p>
        </w:tc>
        <w:tc>
          <w:tcPr>
            <w:tcW w:type="dxa" w:w="1514"/>
          </w:tcPr>
          <w:p>
            <w:pPr>
              <w:spacing w:before="20" w:after="20"/>
            </w:pPr>
            <w:r/>
            <w:r>
              <w:rPr>
                <w:rFonts w:ascii="Verdana" w:hAnsi="Verdana"/>
                <w:b w:val="0"/>
                <w:sz w:val="16"/>
              </w:rPr>
              <w:t>Dose gamma dans l'air le long de la route du transport principal (en un lieu et pour une période précis)</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0 24 014</w:t>
            </w:r>
          </w:p>
        </w:tc>
        <w:tc>
          <w:tcPr>
            <w:tcW w:type="dxa" w:w="1514"/>
          </w:tcPr>
          <w:p>
            <w:pPr>
              <w:spacing w:before="20" w:after="20"/>
            </w:pPr>
            <w:r/>
            <w:r>
              <w:rPr>
                <w:rFonts w:ascii="Verdana" w:hAnsi="Verdana"/>
                <w:b w:val="0"/>
                <w:sz w:val="16"/>
              </w:rPr>
              <w:t>Débit de dose de rayonnement gamma</w:t>
            </w:r>
          </w:p>
        </w:tc>
        <w:tc>
          <w:tcPr>
            <w:tcW w:type="dxa" w:w="1514"/>
          </w:tcPr>
          <w:p>
            <w:pPr>
              <w:spacing w:before="20" w:after="20"/>
            </w:pPr>
            <w:r/>
            <w:r>
              <w:rPr>
                <w:rFonts w:ascii="Verdana" w:hAnsi="Verdana"/>
                <w:sz w:val="16"/>
              </w:rPr>
              <w:t>nSv/h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nSv/h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81: Le descripteur 0 24 014 (débit de dose de rayonnement gamma) permet d’indiquer la valeur de cet élément dans des conditions normales et non pas en cas d’accident nucléaire.</w:t>
            </w:r>
          </w:p>
        </w:tc>
      </w:tr>
      <w:tr>
        <w:trPr>
          <w:cantSplit/>
        </w:trPr>
        <w:tc>
          <w:tcPr>
            <w:tcW w:type="dxa" w:w="1514"/>
          </w:tcPr>
          <w:p>
            <w:pPr>
              <w:spacing w:before="20" w:after="20"/>
            </w:pPr>
            <w:r/>
            <w:r>
              <w:rPr>
                <w:rFonts w:ascii="Verdana" w:hAnsi="Verdana"/>
                <w:b w:val="0"/>
                <w:sz w:val="16"/>
              </w:rPr>
              <w:t>0 24 021</w:t>
            </w:r>
          </w:p>
        </w:tc>
        <w:tc>
          <w:tcPr>
            <w:tcW w:type="dxa" w:w="1514"/>
          </w:tcPr>
          <w:p>
            <w:pPr>
              <w:spacing w:before="20" w:after="20"/>
            </w:pPr>
            <w:r/>
            <w:r>
              <w:rPr>
                <w:rFonts w:ascii="Verdana" w:hAnsi="Verdana"/>
                <w:b w:val="0"/>
                <w:sz w:val="16"/>
              </w:rPr>
              <w:t>Concentration dans l'air (du type d'isotope désigné, y compris la dose bêta brute)</w:t>
            </w:r>
          </w:p>
        </w:tc>
        <w:tc>
          <w:tcPr>
            <w:tcW w:type="dxa" w:w="1514"/>
          </w:tcPr>
          <w:p>
            <w:pPr>
              <w:spacing w:before="20" w:after="20"/>
            </w:pPr>
            <w:r/>
            <w:r>
              <w:rPr>
                <w:rFonts w:ascii="Verdana" w:hAnsi="Verdana"/>
                <w:sz w:val="16"/>
              </w:rPr>
              <w:t>Bq 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Bq 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0 24 022</w:t>
            </w:r>
          </w:p>
        </w:tc>
        <w:tc>
          <w:tcPr>
            <w:tcW w:type="dxa" w:w="1514"/>
          </w:tcPr>
          <w:p>
            <w:pPr>
              <w:spacing w:before="20" w:after="20"/>
            </w:pPr>
            <w:r/>
            <w:r>
              <w:rPr>
                <w:rFonts w:ascii="Verdana" w:hAnsi="Verdana"/>
                <w:b w:val="0"/>
                <w:sz w:val="16"/>
              </w:rPr>
              <w:t>Concentration dans les précipitations (du type d'isotope désigné)</w:t>
            </w:r>
          </w:p>
        </w:tc>
        <w:tc>
          <w:tcPr>
            <w:tcW w:type="dxa" w:w="1514"/>
          </w:tcPr>
          <w:p>
            <w:pPr>
              <w:spacing w:before="20" w:after="20"/>
            </w:pPr>
            <w:r/>
            <w:r>
              <w:rPr>
                <w:rFonts w:ascii="Verdana" w:hAnsi="Verdana"/>
                <w:sz w:val="16"/>
              </w:rPr>
              <w:t>Bq/l</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Bq/l</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0 24 023</w:t>
            </w:r>
          </w:p>
        </w:tc>
        <w:tc>
          <w:tcPr>
            <w:tcW w:type="dxa" w:w="1514"/>
          </w:tcPr>
          <w:p>
            <w:pPr>
              <w:spacing w:before="20" w:after="20"/>
            </w:pPr>
            <w:r/>
            <w:r>
              <w:rPr>
                <w:rFonts w:ascii="Verdana" w:hAnsi="Verdana"/>
                <w:b w:val="0"/>
                <w:sz w:val="16"/>
              </w:rPr>
              <w:t>Pulsation du rayonnement bêta</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0 24 024</w:t>
            </w:r>
          </w:p>
        </w:tc>
        <w:tc>
          <w:tcPr>
            <w:tcW w:type="dxa" w:w="1514"/>
          </w:tcPr>
          <w:p>
            <w:pPr>
              <w:spacing w:before="20" w:after="20"/>
            </w:pPr>
            <w:r/>
            <w:r>
              <w:rPr>
                <w:rFonts w:ascii="Verdana" w:hAnsi="Verdana"/>
                <w:b w:val="0"/>
                <w:sz w:val="16"/>
              </w:rPr>
              <w:t>Pulsation du rayonnement gamma</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