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25 : Informations sur le traitement</w:t>
      </w:r>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0 25 001</w:t>
            </w:r>
          </w:p>
        </w:tc>
        <w:tc>
          <w:tcPr>
            <w:tcW w:type="dxa" w:w="1514"/>
          </w:tcPr>
          <w:p>
            <w:pPr>
              <w:spacing w:before="20" w:after="20"/>
            </w:pPr>
            <w:r/>
            <w:r>
              <w:rPr>
                <w:rFonts w:ascii="Verdana" w:hAnsi="Verdana"/>
                <w:b w:val="0"/>
                <w:sz w:val="16"/>
              </w:rPr>
              <w:t>Distance de la porte d'intégration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0 25 002</w:t>
            </w:r>
          </w:p>
        </w:tc>
        <w:tc>
          <w:tcPr>
            <w:tcW w:type="dxa" w:w="1514"/>
          </w:tcPr>
          <w:p>
            <w:pPr>
              <w:spacing w:before="20" w:after="20"/>
            </w:pPr>
            <w:r/>
            <w:r>
              <w:rPr>
                <w:rFonts w:ascii="Verdana" w:hAnsi="Verdana"/>
                <w:b w:val="0"/>
                <w:sz w:val="16"/>
              </w:rPr>
              <w:t>Nombre moyen de portes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0 25 003</w:t>
            </w:r>
          </w:p>
        </w:tc>
        <w:tc>
          <w:tcPr>
            <w:tcW w:type="dxa" w:w="1514"/>
          </w:tcPr>
          <w:p>
            <w:pPr>
              <w:spacing w:before="20" w:after="20"/>
            </w:pPr>
            <w:r/>
            <w:r>
              <w:rPr>
                <w:rFonts w:ascii="Verdana" w:hAnsi="Verdana"/>
                <w:b w:val="0"/>
                <w:sz w:val="16"/>
              </w:rPr>
              <w:t>Nombre d'impulsions intégrées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0 25 004</w:t>
            </w:r>
          </w:p>
        </w:tc>
        <w:tc>
          <w:tcPr>
            <w:tcW w:type="dxa" w:w="1514"/>
          </w:tcPr>
          <w:p>
            <w:pPr>
              <w:spacing w:before="20" w:after="20"/>
            </w:pPr>
            <w:r/>
            <w:r>
              <w:rPr>
                <w:rFonts w:ascii="Verdana" w:hAnsi="Verdana"/>
                <w:b w:val="0"/>
                <w:sz w:val="16"/>
              </w:rPr>
              <w:t>Traitement des échos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0 25 005</w:t>
            </w:r>
          </w:p>
        </w:tc>
        <w:tc>
          <w:tcPr>
            <w:tcW w:type="dxa" w:w="1514"/>
          </w:tcPr>
          <w:p>
            <w:pPr>
              <w:spacing w:before="20" w:after="20"/>
            </w:pPr>
            <w:r/>
            <w:r>
              <w:rPr>
                <w:rFonts w:ascii="Verdana" w:hAnsi="Verdana"/>
                <w:b w:val="0"/>
                <w:sz w:val="16"/>
              </w:rPr>
              <w:t>Intégration des échos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0 25 006</w:t>
            </w:r>
          </w:p>
        </w:tc>
        <w:tc>
          <w:tcPr>
            <w:tcW w:type="dxa" w:w="1514"/>
          </w:tcPr>
          <w:p>
            <w:pPr>
              <w:spacing w:before="20" w:after="20"/>
            </w:pPr>
            <w:r/>
            <w:r>
              <w:rPr>
                <w:rFonts w:ascii="Verdana" w:hAnsi="Verdana"/>
                <w:b w:val="0"/>
                <w:sz w:val="16"/>
              </w:rPr>
              <w:t>Conversion Z - 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0 25 007</w:t>
            </w:r>
          </w:p>
        </w:tc>
        <w:tc>
          <w:tcPr>
            <w:tcW w:type="dxa" w:w="1514"/>
          </w:tcPr>
          <w:p>
            <w:pPr>
              <w:spacing w:before="20" w:after="20"/>
            </w:pPr>
            <w:r/>
            <w:r>
              <w:rPr>
                <w:rFonts w:ascii="Verdana" w:hAnsi="Verdana"/>
                <w:b w:val="0"/>
                <w:sz w:val="16"/>
              </w:rPr>
              <w:t>Facteur de conversion Z - R</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0 25 008</w:t>
            </w:r>
          </w:p>
        </w:tc>
        <w:tc>
          <w:tcPr>
            <w:tcW w:type="dxa" w:w="1514"/>
          </w:tcPr>
          <w:p>
            <w:pPr>
              <w:spacing w:before="20" w:after="20"/>
            </w:pPr>
            <w:r/>
            <w:r>
              <w:rPr>
                <w:rFonts w:ascii="Verdana" w:hAnsi="Verdana"/>
                <w:b w:val="0"/>
                <w:sz w:val="16"/>
              </w:rPr>
              <w:t>Exposant de conversion Z - R</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0 25 009</w:t>
            </w:r>
          </w:p>
        </w:tc>
        <w:tc>
          <w:tcPr>
            <w:tcW w:type="dxa" w:w="1514"/>
          </w:tcPr>
          <w:p>
            <w:pPr>
              <w:spacing w:before="20" w:after="20"/>
            </w:pPr>
            <w:r/>
            <w:r>
              <w:rPr>
                <w:rFonts w:ascii="Verdana" w:hAnsi="Verdana"/>
                <w:b w:val="0"/>
                <w:sz w:val="16"/>
              </w:rPr>
              <w:t>Méthode d'étalonnage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56: Le descripteur 0 25 009 est caduc. Utiliser plutôt le 0 25 029.</w:t>
            </w:r>
          </w:p>
        </w:tc>
      </w:tr>
      <w:tr>
        <w:trPr>
          <w:cantSplit/>
        </w:trPr>
        <w:tc>
          <w:tcPr>
            <w:tcW w:type="dxa" w:w="1514"/>
          </w:tcPr>
          <w:p>
            <w:pPr>
              <w:spacing w:before="20" w:after="20"/>
            </w:pPr>
            <w:r/>
            <w:r>
              <w:rPr>
                <w:rFonts w:ascii="Verdana" w:hAnsi="Verdana"/>
                <w:b w:val="0"/>
                <w:sz w:val="16"/>
              </w:rPr>
              <w:t>0 25 010</w:t>
            </w:r>
          </w:p>
        </w:tc>
        <w:tc>
          <w:tcPr>
            <w:tcW w:type="dxa" w:w="1514"/>
          </w:tcPr>
          <w:p>
            <w:pPr>
              <w:spacing w:before="20" w:after="20"/>
            </w:pPr>
            <w:r/>
            <w:r>
              <w:rPr>
                <w:rFonts w:ascii="Verdana" w:hAnsi="Verdana"/>
                <w:b w:val="0"/>
                <w:sz w:val="16"/>
              </w:rPr>
              <w:t>Traitement des échos fixes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0 25 011</w:t>
            </w:r>
          </w:p>
        </w:tc>
        <w:tc>
          <w:tcPr>
            <w:tcW w:type="dxa" w:w="1514"/>
          </w:tcPr>
          <w:p>
            <w:pPr>
              <w:spacing w:before="20" w:after="20"/>
            </w:pPr>
            <w:r/>
            <w:r>
              <w:rPr>
                <w:rFonts w:ascii="Verdana" w:hAnsi="Verdana"/>
                <w:b w:val="0"/>
                <w:sz w:val="16"/>
              </w:rPr>
              <w:t>Correction des échos de sol (filtrage)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0 25 012</w:t>
            </w:r>
          </w:p>
        </w:tc>
        <w:tc>
          <w:tcPr>
            <w:tcW w:type="dxa" w:w="1514"/>
          </w:tcPr>
          <w:p>
            <w:pPr>
              <w:spacing w:before="20" w:after="20"/>
            </w:pPr>
            <w:r/>
            <w:r>
              <w:rPr>
                <w:rFonts w:ascii="Verdana" w:hAnsi="Verdana"/>
                <w:b w:val="0"/>
                <w:sz w:val="16"/>
              </w:rPr>
              <w:t>Correction de l'atténuation de portée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0 25 013</w:t>
            </w:r>
          </w:p>
        </w:tc>
        <w:tc>
          <w:tcPr>
            <w:tcW w:type="dxa" w:w="1514"/>
          </w:tcPr>
          <w:p>
            <w:pPr>
              <w:spacing w:before="20" w:after="20"/>
            </w:pPr>
            <w:r/>
            <w:r>
              <w:rPr>
                <w:rFonts w:ascii="Verdana" w:hAnsi="Verdana"/>
                <w:b w:val="0"/>
                <w:sz w:val="16"/>
              </w:rPr>
              <w:t>Correction de la bande brillante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0 25 014</w:t>
            </w:r>
          </w:p>
        </w:tc>
        <w:tc>
          <w:tcPr>
            <w:tcW w:type="dxa" w:w="1514"/>
          </w:tcPr>
          <w:p>
            <w:pPr>
              <w:spacing w:before="20" w:after="20"/>
            </w:pPr>
            <w:r/>
            <w:r>
              <w:rPr>
                <w:rFonts w:ascii="Verdana" w:hAnsi="Verdana"/>
                <w:b w:val="0"/>
                <w:sz w:val="16"/>
              </w:rPr>
              <w:t>Coupure azimutale due au fouillis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15: Les descripteurs 3 03 021 à 3 03 027 ne sont pas disponibles dans le CREX.</w:t>
            </w:r>
          </w:p>
        </w:tc>
      </w:tr>
      <w:tr>
        <w:trPr>
          <w:cantSplit/>
        </w:trPr>
        <w:tc>
          <w:tcPr>
            <w:tcW w:type="dxa" w:w="1514"/>
          </w:tcPr>
          <w:p>
            <w:pPr>
              <w:spacing w:before="20" w:after="20"/>
            </w:pPr>
            <w:r/>
            <w:r>
              <w:rPr>
                <w:rFonts w:ascii="Verdana" w:hAnsi="Verdana"/>
                <w:b w:val="0"/>
                <w:sz w:val="16"/>
              </w:rPr>
              <w:t>0 25 015</w:t>
            </w:r>
          </w:p>
        </w:tc>
        <w:tc>
          <w:tcPr>
            <w:tcW w:type="dxa" w:w="1514"/>
          </w:tcPr>
          <w:p>
            <w:pPr>
              <w:spacing w:before="20" w:after="20"/>
            </w:pPr>
            <w:r/>
            <w:r>
              <w:rPr>
                <w:rFonts w:ascii="Verdana" w:hAnsi="Verdana"/>
                <w:b w:val="0"/>
                <w:sz w:val="16"/>
              </w:rPr>
              <w:t>Correction de l'atténuation par le radôme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0 25 016</w:t>
            </w:r>
          </w:p>
        </w:tc>
        <w:tc>
          <w:tcPr>
            <w:tcW w:type="dxa" w:w="1514"/>
          </w:tcPr>
          <w:p>
            <w:pPr>
              <w:spacing w:before="20" w:after="20"/>
            </w:pPr>
            <w:r/>
            <w:r>
              <w:rPr>
                <w:rFonts w:ascii="Verdana" w:hAnsi="Verdana"/>
                <w:b w:val="0"/>
                <w:sz w:val="16"/>
              </w:rPr>
              <w:t>Correction de l'atténuation en air clair</w:t>
            </w:r>
          </w:p>
        </w:tc>
        <w:tc>
          <w:tcPr>
            <w:tcW w:type="dxa" w:w="1514"/>
          </w:tcPr>
          <w:p>
            <w:pPr>
              <w:spacing w:before="20" w:after="20"/>
            </w:pPr>
            <w:r/>
            <w:r>
              <w:rPr>
                <w:rFonts w:ascii="Verdana" w:hAnsi="Verdana"/>
                <w:sz w:val="16"/>
              </w:rPr>
              <w:t>dB/m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dB/m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0 25 017</w:t>
            </w:r>
          </w:p>
        </w:tc>
        <w:tc>
          <w:tcPr>
            <w:tcW w:type="dxa" w:w="1514"/>
          </w:tcPr>
          <w:p>
            <w:pPr>
              <w:spacing w:before="20" w:after="20"/>
            </w:pPr>
            <w:r/>
            <w:r>
              <w:rPr>
                <w:rFonts w:ascii="Verdana" w:hAnsi="Verdana"/>
                <w:b w:val="0"/>
                <w:sz w:val="16"/>
              </w:rPr>
              <w:t>Correction de l'atténuation par les précipitations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0 25 018</w:t>
            </w:r>
          </w:p>
        </w:tc>
        <w:tc>
          <w:tcPr>
            <w:tcW w:type="dxa" w:w="1514"/>
          </w:tcPr>
          <w:p>
            <w:pPr>
              <w:spacing w:before="20" w:after="20"/>
            </w:pPr>
            <w:r/>
            <w:r>
              <w:rPr>
                <w:rFonts w:ascii="Verdana" w:hAnsi="Verdana"/>
                <w:b w:val="0"/>
                <w:sz w:val="16"/>
              </w:rPr>
              <w:t>Loi reliant A à Z pour le facteur d'atténuation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0 25 019</w:t>
            </w:r>
          </w:p>
        </w:tc>
        <w:tc>
          <w:tcPr>
            <w:tcW w:type="dxa" w:w="1514"/>
          </w:tcPr>
          <w:p>
            <w:pPr>
              <w:spacing w:before="20" w:after="20"/>
            </w:pPr>
            <w:r/>
            <w:r>
              <w:rPr>
                <w:rFonts w:ascii="Verdana" w:hAnsi="Verdana"/>
                <w:b w:val="0"/>
                <w:sz w:val="16"/>
              </w:rPr>
              <w:t>Loi reliant A à Z pour l'exposant d'atténuation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0 25 020</w:t>
            </w:r>
          </w:p>
        </w:tc>
        <w:tc>
          <w:tcPr>
            <w:tcW w:type="dxa" w:w="1514"/>
          </w:tcPr>
          <w:p>
            <w:pPr>
              <w:spacing w:before="20" w:after="20"/>
            </w:pPr>
            <w:r/>
            <w:r>
              <w:rPr>
                <w:rFonts w:ascii="Verdana" w:hAnsi="Verdana"/>
                <w:b w:val="0"/>
                <w:sz w:val="16"/>
              </w:rPr>
              <w:t>Estimation de la vitesse moyenne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0 25 021</w:t>
            </w:r>
          </w:p>
        </w:tc>
        <w:tc>
          <w:tcPr>
            <w:tcW w:type="dxa" w:w="1514"/>
          </w:tcPr>
          <w:p>
            <w:pPr>
              <w:spacing w:before="20" w:after="20"/>
            </w:pPr>
            <w:r/>
            <w:r>
              <w:rPr>
                <w:rFonts w:ascii="Verdana" w:hAnsi="Verdana"/>
                <w:b w:val="0"/>
                <w:sz w:val="16"/>
              </w:rPr>
              <w:t>Renforcement du calcul du vent</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0 25 022</w:t>
            </w:r>
          </w:p>
        </w:tc>
        <w:tc>
          <w:tcPr>
            <w:tcW w:type="dxa" w:w="1514"/>
          </w:tcPr>
          <w:p>
            <w:pPr>
              <w:spacing w:before="20" w:after="20"/>
            </w:pPr>
            <w:r/>
            <w:r>
              <w:rPr>
                <w:rFonts w:ascii="Verdana" w:hAnsi="Verdana"/>
                <w:b w:val="0"/>
                <w:sz w:val="16"/>
              </w:rPr>
              <w:t>Indicateur de rejet des données GHRSST</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0 25 023</w:t>
            </w:r>
          </w:p>
        </w:tc>
        <w:tc>
          <w:tcPr>
            <w:tcW w:type="dxa" w:w="1514"/>
          </w:tcPr>
          <w:p>
            <w:pPr>
              <w:spacing w:before="20" w:after="20"/>
            </w:pPr>
            <w:r/>
            <w:r>
              <w:rPr>
                <w:rFonts w:ascii="Verdana" w:hAnsi="Verdana"/>
                <w:b w:val="0"/>
                <w:sz w:val="16"/>
              </w:rPr>
              <w:t>Indicateur de confiance des données GHRSST</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0 25 024</w:t>
            </w:r>
          </w:p>
        </w:tc>
        <w:tc>
          <w:tcPr>
            <w:tcW w:type="dxa" w:w="1514"/>
          </w:tcPr>
          <w:p>
            <w:pPr>
              <w:spacing w:before="20" w:after="20"/>
            </w:pPr>
            <w:r/>
            <w:r>
              <w:rPr>
                <w:rFonts w:ascii="Verdana" w:hAnsi="Verdana"/>
                <w:b w:val="0"/>
                <w:sz w:val="16"/>
              </w:rPr>
              <w:t>Qualité des données GHRSST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0 25 025</w:t>
            </w:r>
          </w:p>
        </w:tc>
        <w:tc>
          <w:tcPr>
            <w:tcW w:type="dxa" w:w="1514"/>
          </w:tcPr>
          <w:p>
            <w:pPr>
              <w:spacing w:before="20" w:after="20"/>
            </w:pPr>
            <w:r/>
            <w:r>
              <w:rPr>
                <w:rFonts w:ascii="Verdana" w:hAnsi="Verdana"/>
                <w:b w:val="0"/>
                <w:sz w:val="16"/>
              </w:rPr>
              <w:t>Voltage de la batterie</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0 25 026</w:t>
            </w:r>
          </w:p>
        </w:tc>
        <w:tc>
          <w:tcPr>
            <w:tcW w:type="dxa" w:w="1514"/>
          </w:tcPr>
          <w:p>
            <w:pPr>
              <w:spacing w:before="20" w:after="20"/>
            </w:pPr>
            <w:r/>
            <w:r>
              <w:rPr>
                <w:rFonts w:ascii="Verdana" w:hAnsi="Verdana"/>
                <w:b w:val="0"/>
                <w:sz w:val="16"/>
              </w:rPr>
              <w:t>Tension de la batterie (grande portée)</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V</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0 25 028</w:t>
            </w:r>
          </w:p>
        </w:tc>
        <w:tc>
          <w:tcPr>
            <w:tcW w:type="dxa" w:w="1514"/>
          </w:tcPr>
          <w:p>
            <w:pPr>
              <w:spacing w:before="20" w:after="20"/>
            </w:pPr>
            <w:r/>
            <w:r>
              <w:rPr>
                <w:rFonts w:ascii="Verdana" w:hAnsi="Verdana"/>
                <w:b w:val="0"/>
                <w:sz w:val="16"/>
              </w:rPr>
              <w:t>Paramètre défini par l'exploitant ou le fabricant</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-16384</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0 25 029</w:t>
            </w:r>
          </w:p>
        </w:tc>
        <w:tc>
          <w:tcPr>
            <w:tcW w:type="dxa" w:w="1514"/>
          </w:tcPr>
          <w:p>
            <w:pPr>
              <w:spacing w:before="20" w:after="20"/>
            </w:pPr>
            <w:r/>
            <w:r>
              <w:rPr>
                <w:rFonts w:ascii="Verdana" w:hAnsi="Verdana"/>
                <w:b w:val="0"/>
                <w:sz w:val="16"/>
              </w:rPr>
              <w:t>Méthode d'étalonnage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56: Le descripteur 0 25 009 est caduc. Utiliser plutôt le 0 25 029.</w:t>
            </w:r>
          </w:p>
        </w:tc>
      </w:tr>
      <w:tr>
        <w:trPr>
          <w:cantSplit/>
        </w:trPr>
        <w:tc>
          <w:tcPr>
            <w:tcW w:type="dxa" w:w="1514"/>
          </w:tcPr>
          <w:p>
            <w:pPr>
              <w:spacing w:before="20" w:after="20"/>
            </w:pPr>
            <w:r/>
            <w:r>
              <w:rPr>
                <w:rFonts w:ascii="Verdana" w:hAnsi="Verdana"/>
                <w:b w:val="0"/>
                <w:sz w:val="16"/>
              </w:rPr>
              <w:t>0 25 030</w:t>
            </w:r>
          </w:p>
        </w:tc>
        <w:tc>
          <w:tcPr>
            <w:tcW w:type="dxa" w:w="1514"/>
          </w:tcPr>
          <w:p>
            <w:pPr>
              <w:spacing w:before="20" w:after="20"/>
            </w:pPr>
            <w:r/>
            <w:r>
              <w:rPr>
                <w:rFonts w:ascii="Verdana" w:hAnsi="Verdana"/>
                <w:b w:val="0"/>
                <w:sz w:val="16"/>
              </w:rPr>
              <w:t>Moyenne mobile de la température de la mer en surface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0 25 031</w:t>
            </w:r>
          </w:p>
        </w:tc>
        <w:tc>
          <w:tcPr>
            <w:tcW w:type="dxa" w:w="1514"/>
          </w:tcPr>
          <w:p>
            <w:pPr>
              <w:spacing w:before="20" w:after="20"/>
            </w:pPr>
            <w:r/>
            <w:r>
              <w:rPr>
                <w:rFonts w:ascii="Verdana" w:hAnsi="Verdana"/>
                <w:b w:val="0"/>
                <w:sz w:val="16"/>
              </w:rPr>
              <w:t>Méthode d'éclaircissage des profils verticaux établis par la prévision numérique du temps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0 25 032</w:t>
            </w:r>
          </w:p>
        </w:tc>
        <w:tc>
          <w:tcPr>
            <w:tcW w:type="dxa" w:w="1514"/>
          </w:tcPr>
          <w:p>
            <w:pPr>
              <w:spacing w:before="20" w:after="20"/>
            </w:pPr>
            <w:r/>
            <w:r>
              <w:rPr>
                <w:rFonts w:ascii="Verdana" w:hAnsi="Verdana"/>
                <w:b w:val="0"/>
                <w:sz w:val="16"/>
              </w:rPr>
              <w:t>Information sur le mode du profileur de vent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Note 131: La signification de cette quantité peut être obtenue auprès du centre d’origine des données.</w:t>
            </w:r>
          </w:p>
        </w:tc>
      </w:tr>
      <w:tr>
        <w:trPr>
          <w:cantSplit/>
        </w:trPr>
        <w:tc>
          <w:tcPr>
            <w:tcW w:type="dxa" w:w="1514"/>
          </w:tcPr>
          <w:p>
            <w:pPr>
              <w:spacing w:before="20" w:after="20"/>
            </w:pPr>
            <w:r/>
            <w:r>
              <w:rPr>
                <w:rFonts w:ascii="Verdana" w:hAnsi="Verdana"/>
                <w:b w:val="0"/>
                <w:sz w:val="16"/>
              </w:rPr>
              <w:t>0 25 033</w:t>
            </w:r>
          </w:p>
        </w:tc>
        <w:tc>
          <w:tcPr>
            <w:tcW w:type="dxa" w:w="1514"/>
          </w:tcPr>
          <w:p>
            <w:pPr>
              <w:spacing w:before="20" w:after="20"/>
            </w:pPr>
            <w:r/>
            <w:r>
              <w:rPr>
                <w:rFonts w:ascii="Verdana" w:hAnsi="Verdana"/>
                <w:b w:val="0"/>
                <w:sz w:val="16"/>
              </w:rPr>
              <w:t>Information sur le sous-mode du profileur de vent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Note 131: La signification de cette quantité peut être obtenue auprès du centre d’origine des données.</w:t>
            </w:r>
          </w:p>
        </w:tc>
      </w:tr>
      <w:tr>
        <w:trPr>
          <w:cantSplit/>
        </w:trPr>
        <w:tc>
          <w:tcPr>
            <w:tcW w:type="dxa" w:w="1514"/>
          </w:tcPr>
          <w:p>
            <w:pPr>
              <w:spacing w:before="20" w:after="20"/>
            </w:pPr>
            <w:r/>
            <w:r>
              <w:rPr>
                <w:rFonts w:ascii="Verdana" w:hAnsi="Verdana"/>
                <w:b w:val="0"/>
                <w:sz w:val="16"/>
              </w:rPr>
              <w:t>0 25 034</w:t>
            </w:r>
          </w:p>
        </w:tc>
        <w:tc>
          <w:tcPr>
            <w:tcW w:type="dxa" w:w="1514"/>
          </w:tcPr>
          <w:p>
            <w:pPr>
              <w:spacing w:before="20" w:after="20"/>
            </w:pPr>
            <w:r/>
            <w:r>
              <w:rPr>
                <w:rFonts w:ascii="Verdana" w:hAnsi="Verdana"/>
                <w:b w:val="0"/>
                <w:sz w:val="16"/>
              </w:rPr>
              <w:t>Résultats des essais de contrôle de la qualité du profileur de vent</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Note 131: La signification de cette quantité peut être obtenue auprès du centre d’origine des données.</w:t>
            </w:r>
          </w:p>
        </w:tc>
      </w:tr>
      <w:tr>
        <w:trPr>
          <w:cantSplit/>
        </w:trPr>
        <w:tc>
          <w:tcPr>
            <w:tcW w:type="dxa" w:w="1514"/>
          </w:tcPr>
          <w:p>
            <w:pPr>
              <w:spacing w:before="20" w:after="20"/>
            </w:pPr>
            <w:r/>
            <w:r>
              <w:rPr>
                <w:rFonts w:ascii="Verdana" w:hAnsi="Verdana"/>
                <w:b w:val="0"/>
                <w:sz w:val="16"/>
              </w:rPr>
              <w:t>0 25 035</w:t>
            </w:r>
          </w:p>
        </w:tc>
        <w:tc>
          <w:tcPr>
            <w:tcW w:type="dxa" w:w="1514"/>
          </w:tcPr>
          <w:p>
            <w:pPr>
              <w:spacing w:before="20" w:after="20"/>
            </w:pPr>
            <w:r/>
            <w:r>
              <w:rPr>
                <w:rFonts w:ascii="Verdana" w:hAnsi="Verdana"/>
                <w:b w:val="0"/>
                <w:sz w:val="16"/>
              </w:rPr>
              <w:t>Méthode de décision pour la polarité</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Note 34: Le décalage en latitude 0 05 015 est établi par rapport à la latitude du site du lâcher. Le décalage en longitude 0 06 015 est établi par rapport à la longitude du site du lâcher.</w:t>
            </w:r>
          </w:p>
        </w:tc>
      </w:tr>
      <w:tr>
        <w:trPr>
          <w:cantSplit/>
        </w:trPr>
        <w:tc>
          <w:tcPr>
            <w:tcW w:type="dxa" w:w="1514"/>
          </w:tcPr>
          <w:p>
            <w:pPr>
              <w:spacing w:before="20" w:after="20"/>
            </w:pPr>
            <w:r/>
            <w:r>
              <w:rPr>
                <w:rFonts w:ascii="Verdana" w:hAnsi="Verdana"/>
                <w:b w:val="0"/>
                <w:sz w:val="16"/>
              </w:rPr>
              <w:t>0 25 036</w:t>
            </w:r>
          </w:p>
        </w:tc>
        <w:tc>
          <w:tcPr>
            <w:tcW w:type="dxa" w:w="1514"/>
          </w:tcPr>
          <w:p>
            <w:pPr>
              <w:spacing w:before="20" w:after="20"/>
            </w:pPr>
            <w:r/>
            <w:r>
              <w:rPr>
                <w:rFonts w:ascii="Verdana" w:hAnsi="Verdana"/>
                <w:b w:val="0"/>
                <w:sz w:val="16"/>
              </w:rPr>
              <w:t>Méthode de localisation des atmosphériques</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0 25 037</w:t>
            </w:r>
          </w:p>
        </w:tc>
        <w:tc>
          <w:tcPr>
            <w:tcW w:type="dxa" w:w="1514"/>
          </w:tcPr>
          <w:p>
            <w:pPr>
              <w:spacing w:before="20" w:after="20"/>
            </w:pPr>
            <w:r/>
            <w:r>
              <w:rPr>
                <w:rFonts w:ascii="Verdana" w:hAnsi="Verdana"/>
                <w:b w:val="0"/>
                <w:sz w:val="16"/>
              </w:rPr>
              <w:t>Biais de la SST</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-127</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0 25 038</w:t>
            </w:r>
          </w:p>
        </w:tc>
        <w:tc>
          <w:tcPr>
            <w:tcW w:type="dxa" w:w="1514"/>
          </w:tcPr>
          <w:p>
            <w:pPr>
              <w:spacing w:before="20" w:after="20"/>
            </w:pPr>
            <w:r/>
            <w:r>
              <w:rPr>
                <w:rFonts w:ascii="Verdana" w:hAnsi="Verdana"/>
                <w:b w:val="0"/>
                <w:sz w:val="16"/>
              </w:rPr>
              <w:t>Différence entre la valeur observée de la SST et la valeur analysée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-127</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0 25 040</w:t>
            </w:r>
          </w:p>
        </w:tc>
        <w:tc>
          <w:tcPr>
            <w:tcW w:type="dxa" w:w="1514"/>
          </w:tcPr>
          <w:p>
            <w:pPr>
              <w:spacing w:before="20" w:after="20"/>
            </w:pPr>
            <w:r/>
            <w:r>
              <w:rPr>
                <w:rFonts w:ascii="Verdana" w:hAnsi="Verdana"/>
                <w:b w:val="0"/>
                <w:sz w:val="16"/>
              </w:rPr>
              <w:t>Produit de vent obtenu par traceur au CO2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0 25 041</w:t>
            </w:r>
          </w:p>
        </w:tc>
        <w:tc>
          <w:tcPr>
            <w:tcW w:type="dxa" w:w="1514"/>
          </w:tcPr>
          <w:p>
            <w:pPr>
              <w:spacing w:before="20" w:after="20"/>
            </w:pPr>
            <w:r/>
            <w:r>
              <w:rPr>
                <w:rFonts w:ascii="Verdana" w:hAnsi="Verdana"/>
                <w:b w:val="0"/>
                <w:sz w:val="16"/>
              </w:rPr>
              <w:t>Méthode de transmission de la direction de la plate-forme mobile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0 25 042</w:t>
            </w:r>
          </w:p>
        </w:tc>
        <w:tc>
          <w:tcPr>
            <w:tcW w:type="dxa" w:w="1514"/>
          </w:tcPr>
          <w:p>
            <w:pPr>
              <w:spacing w:before="20" w:after="20"/>
            </w:pPr>
            <w:r/>
            <w:r>
              <w:rPr>
                <w:rFonts w:ascii="Verdana" w:hAnsi="Verdana"/>
                <w:b w:val="0"/>
                <w:sz w:val="16"/>
              </w:rPr>
              <w:t>Méthode de transmission de la vitesse de la plate-forme mobile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0 25 043</w:t>
            </w:r>
          </w:p>
        </w:tc>
        <w:tc>
          <w:tcPr>
            <w:tcW w:type="dxa" w:w="1514"/>
          </w:tcPr>
          <w:p>
            <w:pPr>
              <w:spacing w:before="20" w:after="20"/>
            </w:pPr>
            <w:r/>
            <w:r>
              <w:rPr>
                <w:rFonts w:ascii="Verdana" w:hAnsi="Verdana"/>
                <w:b w:val="0"/>
                <w:sz w:val="16"/>
              </w:rPr>
              <w:t>Intervalle d'échantillonnage des vagues (temps)</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0 25 044</w:t>
            </w:r>
          </w:p>
        </w:tc>
        <w:tc>
          <w:tcPr>
            <w:tcW w:type="dxa" w:w="1514"/>
          </w:tcPr>
          <w:p>
            <w:pPr>
              <w:spacing w:before="20" w:after="20"/>
            </w:pPr>
            <w:r/>
            <w:r>
              <w:rPr>
                <w:rFonts w:ascii="Verdana" w:hAnsi="Verdana"/>
                <w:b w:val="0"/>
                <w:sz w:val="16"/>
              </w:rPr>
              <w:t>Intervalle d'échantillonnage des vagues (espace)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0 25 045</w:t>
            </w:r>
          </w:p>
        </w:tc>
        <w:tc>
          <w:tcPr>
            <w:tcW w:type="dxa" w:w="1514"/>
          </w:tcPr>
          <w:p>
            <w:pPr>
              <w:spacing w:before="20" w:after="20"/>
            </w:pPr>
            <w:r/>
            <w:r>
              <w:rPr>
                <w:rFonts w:ascii="Verdana" w:hAnsi="Verdana"/>
                <w:b w:val="0"/>
                <w:sz w:val="16"/>
              </w:rPr>
              <w:t>Combinaison de canaux de sondeur HIRS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0 25 046</w:t>
            </w:r>
          </w:p>
        </w:tc>
        <w:tc>
          <w:tcPr>
            <w:tcW w:type="dxa" w:w="1514"/>
          </w:tcPr>
          <w:p>
            <w:pPr>
              <w:spacing w:before="20" w:after="20"/>
            </w:pPr>
            <w:r/>
            <w:r>
              <w:rPr>
                <w:rFonts w:ascii="Verdana" w:hAnsi="Verdana"/>
                <w:b w:val="0"/>
                <w:sz w:val="16"/>
              </w:rPr>
              <w:t>Combinaison de canaux de sondeur MSU</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0 25 047</w:t>
            </w:r>
          </w:p>
        </w:tc>
        <w:tc>
          <w:tcPr>
            <w:tcW w:type="dxa" w:w="1514"/>
          </w:tcPr>
          <w:p>
            <w:pPr>
              <w:spacing w:before="20" w:after="20"/>
            </w:pPr>
            <w:r/>
            <w:r>
              <w:rPr>
                <w:rFonts w:ascii="Verdana" w:hAnsi="Verdana"/>
                <w:b w:val="0"/>
                <w:sz w:val="16"/>
              </w:rPr>
              <w:t>Combinaison de canaux de sondeur SSU</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0 25 048</w:t>
            </w:r>
          </w:p>
        </w:tc>
        <w:tc>
          <w:tcPr>
            <w:tcW w:type="dxa" w:w="1514"/>
          </w:tcPr>
          <w:p>
            <w:pPr>
              <w:spacing w:before="20" w:after="20"/>
            </w:pPr>
            <w:r/>
            <w:r>
              <w:rPr>
                <w:rFonts w:ascii="Verdana" w:hAnsi="Verdana"/>
                <w:b w:val="0"/>
                <w:sz w:val="16"/>
              </w:rPr>
              <w:t>Combinaison de canaux de sondeur AMSU-A</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0 25 049</w:t>
            </w:r>
          </w:p>
        </w:tc>
        <w:tc>
          <w:tcPr>
            <w:tcW w:type="dxa" w:w="1514"/>
          </w:tcPr>
          <w:p>
            <w:pPr>
              <w:spacing w:before="20" w:after="20"/>
            </w:pPr>
            <w:r/>
            <w:r>
              <w:rPr>
                <w:rFonts w:ascii="Verdana" w:hAnsi="Verdana"/>
                <w:b w:val="0"/>
                <w:sz w:val="16"/>
              </w:rPr>
              <w:t>Combinaison de canaux de sondeur AMSU-B</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0 25 050</w:t>
            </w:r>
          </w:p>
        </w:tc>
        <w:tc>
          <w:tcPr>
            <w:tcW w:type="dxa" w:w="1514"/>
          </w:tcPr>
          <w:p>
            <w:pPr>
              <w:spacing w:before="20" w:after="20"/>
            </w:pPr>
            <w:r/>
            <w:r>
              <w:rPr>
                <w:rFonts w:ascii="Verdana" w:hAnsi="Verdana"/>
                <w:b w:val="0"/>
                <w:sz w:val="16"/>
              </w:rPr>
              <w:t>Indice de qualité de la composante principale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-131072</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0 25 051</w:t>
            </w:r>
          </w:p>
        </w:tc>
        <w:tc>
          <w:tcPr>
            <w:tcW w:type="dxa" w:w="1514"/>
          </w:tcPr>
          <w:p>
            <w:pPr>
              <w:spacing w:before="20" w:after="20"/>
            </w:pPr>
            <w:r/>
            <w:r>
              <w:rPr>
                <w:rFonts w:ascii="Verdana" w:hAnsi="Verdana"/>
                <w:b w:val="0"/>
                <w:sz w:val="16"/>
              </w:rPr>
              <w:t>Combinaison de canaux de radiomètre AVHRR</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0 25 052</w:t>
            </w:r>
          </w:p>
        </w:tc>
        <w:tc>
          <w:tcPr>
            <w:tcW w:type="dxa" w:w="1514"/>
          </w:tcPr>
          <w:p>
            <w:pPr>
              <w:spacing w:before="20" w:after="20"/>
            </w:pPr>
            <w:r/>
            <w:r>
              <w:rPr>
                <w:rFonts w:ascii="Verdana" w:hAnsi="Verdana"/>
                <w:b w:val="0"/>
                <w:sz w:val="16"/>
              </w:rPr>
              <w:t>Log10 de l'ajustement normalisé aux données des composantes principales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0 25 053</w:t>
            </w:r>
          </w:p>
        </w:tc>
        <w:tc>
          <w:tcPr>
            <w:tcW w:type="dxa" w:w="1514"/>
          </w:tcPr>
          <w:p>
            <w:pPr>
              <w:spacing w:before="20" w:after="20"/>
            </w:pPr>
            <w:r/>
            <w:r>
              <w:rPr>
                <w:rFonts w:ascii="Verdana" w:hAnsi="Verdana"/>
                <w:b w:val="0"/>
                <w:sz w:val="16"/>
              </w:rPr>
              <w:t>Qualité des observations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0 25 054</w:t>
            </w:r>
          </w:p>
        </w:tc>
        <w:tc>
          <w:tcPr>
            <w:tcW w:type="dxa" w:w="1514"/>
          </w:tcPr>
          <w:p>
            <w:pPr>
              <w:spacing w:before="20" w:after="20"/>
            </w:pPr>
            <w:r/>
            <w:r>
              <w:rPr>
                <w:rFonts w:ascii="Verdana" w:hAnsi="Verdana"/>
                <w:b w:val="0"/>
                <w:sz w:val="16"/>
              </w:rPr>
              <w:t>Numéro d'identification de la sous-trame SSMIS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0 25 055</w:t>
            </w:r>
          </w:p>
        </w:tc>
        <w:tc>
          <w:tcPr>
            <w:tcW w:type="dxa" w:w="1514"/>
          </w:tcPr>
          <w:p>
            <w:pPr>
              <w:spacing w:before="20" w:after="20"/>
            </w:pPr>
            <w:r/>
            <w:r>
              <w:rPr>
                <w:rFonts w:ascii="Verdana" w:hAnsi="Verdana"/>
                <w:b w:val="0"/>
                <w:sz w:val="16"/>
              </w:rPr>
              <w:t>Télémaintenance du multiplexeur</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0 25 060</w:t>
            </w:r>
          </w:p>
        </w:tc>
        <w:tc>
          <w:tcPr>
            <w:tcW w:type="dxa" w:w="1514"/>
          </w:tcPr>
          <w:p>
            <w:pPr>
              <w:spacing w:before="20" w:after="20"/>
            </w:pPr>
            <w:r/>
            <w:r>
              <w:rPr>
                <w:rFonts w:ascii="Verdana" w:hAnsi="Verdana"/>
                <w:b w:val="0"/>
                <w:sz w:val="16"/>
              </w:rPr>
              <w:t>Identification du logiciel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131: La signification de cette quantité peut être obtenue auprès du centre d’origine des données.</w:t>
            </w:r>
          </w:p>
        </w:tc>
      </w:tr>
      <w:tr>
        <w:trPr>
          <w:cantSplit/>
        </w:trPr>
        <w:tc>
          <w:tcPr>
            <w:tcW w:type="dxa" w:w="1514"/>
          </w:tcPr>
          <w:p>
            <w:pPr>
              <w:spacing w:before="20" w:after="20"/>
            </w:pPr>
            <w:r/>
            <w:r>
              <w:rPr>
                <w:rFonts w:ascii="Verdana" w:hAnsi="Verdana"/>
                <w:b w:val="0"/>
                <w:sz w:val="16"/>
              </w:rPr>
              <w:t>0 25 061</w:t>
            </w:r>
          </w:p>
        </w:tc>
        <w:tc>
          <w:tcPr>
            <w:tcW w:type="dxa" w:w="1514"/>
          </w:tcPr>
          <w:p>
            <w:pPr>
              <w:spacing w:before="20" w:after="20"/>
            </w:pPr>
            <w:r/>
            <w:r>
              <w:rPr>
                <w:rFonts w:ascii="Verdana" w:hAnsi="Verdana"/>
                <w:b w:val="0"/>
                <w:sz w:val="16"/>
              </w:rPr>
              <w:t>Identification du logiciel et numéro de version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0 25 062</w:t>
            </w:r>
          </w:p>
        </w:tc>
        <w:tc>
          <w:tcPr>
            <w:tcW w:type="dxa" w:w="1514"/>
          </w:tcPr>
          <w:p>
            <w:pPr>
              <w:spacing w:before="20" w:after="20"/>
            </w:pPr>
            <w:r/>
            <w:r>
              <w:rPr>
                <w:rFonts w:ascii="Verdana" w:hAnsi="Verdana"/>
                <w:b w:val="0"/>
                <w:sz w:val="16"/>
              </w:rPr>
              <w:t>Identification de la base de données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0 25 063</w:t>
            </w:r>
          </w:p>
        </w:tc>
        <w:tc>
          <w:tcPr>
            <w:tcW w:type="dxa" w:w="1514"/>
          </w:tcPr>
          <w:p>
            <w:pPr>
              <w:spacing w:before="20" w:after="20"/>
            </w:pPr>
            <w:r/>
            <w:r>
              <w:rPr>
                <w:rFonts w:ascii="Verdana" w:hAnsi="Verdana"/>
                <w:b w:val="0"/>
                <w:sz w:val="16"/>
              </w:rPr>
              <w:t>Indicateur du système ou processeur central</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71: Identification du système ou processeur de localisation des éclairs, afin de préciser où le site du phénomène a été établi dans le système multi-intégré. D’ordinaire, valeur de 1.</w:t>
            </w:r>
          </w:p>
        </w:tc>
      </w:tr>
      <w:tr>
        <w:trPr>
          <w:cantSplit/>
        </w:trPr>
        <w:tc>
          <w:tcPr>
            <w:tcW w:type="dxa" w:w="1514"/>
          </w:tcPr>
          <w:p>
            <w:pPr>
              <w:spacing w:before="20" w:after="20"/>
            </w:pPr>
            <w:r/>
            <w:r>
              <w:rPr>
                <w:rFonts w:ascii="Verdana" w:hAnsi="Verdana"/>
                <w:b w:val="0"/>
                <w:sz w:val="16"/>
              </w:rPr>
              <w:t>0 25 065</w:t>
            </w:r>
          </w:p>
        </w:tc>
        <w:tc>
          <w:tcPr>
            <w:tcW w:type="dxa" w:w="1514"/>
          </w:tcPr>
          <w:p>
            <w:pPr>
              <w:spacing w:before="20" w:after="20"/>
            </w:pPr>
            <w:r/>
            <w:r>
              <w:rPr>
                <w:rFonts w:ascii="Verdana" w:hAnsi="Verdana"/>
                <w:b w:val="0"/>
                <w:sz w:val="16"/>
              </w:rPr>
              <w:t>Correction de l'orientation (azimut)</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0 25 066</w:t>
            </w:r>
          </w:p>
        </w:tc>
        <w:tc>
          <w:tcPr>
            <w:tcW w:type="dxa" w:w="1514"/>
          </w:tcPr>
          <w:p>
            <w:pPr>
              <w:spacing w:before="20" w:after="20"/>
            </w:pPr>
            <w:r/>
            <w:r>
              <w:rPr>
                <w:rFonts w:ascii="Verdana" w:hAnsi="Verdana"/>
                <w:b w:val="0"/>
                <w:sz w:val="16"/>
              </w:rPr>
              <w:t>Correction de l'orientation (altitude)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0 25 067</w:t>
            </w:r>
          </w:p>
        </w:tc>
        <w:tc>
          <w:tcPr>
            <w:tcW w:type="dxa" w:w="1514"/>
          </w:tcPr>
          <w:p>
            <w:pPr>
              <w:spacing w:before="20" w:after="20"/>
            </w:pPr>
            <w:r/>
            <w:r>
              <w:rPr>
                <w:rFonts w:ascii="Verdana" w:hAnsi="Verdana"/>
                <w:b w:val="0"/>
                <w:sz w:val="16"/>
              </w:rPr>
              <w:t>Correction de pression au point de lâcher de la radiosonde</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0 25 068</w:t>
            </w:r>
          </w:p>
        </w:tc>
        <w:tc>
          <w:tcPr>
            <w:tcW w:type="dxa" w:w="1514"/>
          </w:tcPr>
          <w:p>
            <w:pPr>
              <w:spacing w:before="20" w:after="20"/>
            </w:pPr>
            <w:r/>
            <w:r>
              <w:rPr>
                <w:rFonts w:ascii="Verdana" w:hAnsi="Verdana"/>
                <w:b w:val="0"/>
                <w:sz w:val="16"/>
              </w:rPr>
              <w:t>Recalcul des archives - nombre de fois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0 25 069</w:t>
            </w:r>
          </w:p>
        </w:tc>
        <w:tc>
          <w:tcPr>
            <w:tcW w:type="dxa" w:w="1514"/>
          </w:tcPr>
          <w:p>
            <w:pPr>
              <w:spacing w:before="20" w:after="20"/>
            </w:pPr>
            <w:r/>
            <w:r>
              <w:rPr>
                <w:rFonts w:ascii="Verdana" w:hAnsi="Verdana"/>
                <w:b w:val="0"/>
                <w:sz w:val="16"/>
              </w:rPr>
              <w:t>Corrections de pression du niveau de vol</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0 25 070</w:t>
            </w:r>
          </w:p>
        </w:tc>
        <w:tc>
          <w:tcPr>
            <w:tcW w:type="dxa" w:w="1514"/>
          </w:tcPr>
          <w:p>
            <w:pPr>
              <w:spacing w:before="20" w:after="20"/>
            </w:pPr>
            <w:r/>
            <w:r>
              <w:rPr>
                <w:rFonts w:ascii="Verdana" w:hAnsi="Verdana"/>
                <w:b w:val="0"/>
                <w:sz w:val="16"/>
              </w:rPr>
              <w:t>Numéro de paquet principal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0 25 071</w:t>
            </w:r>
          </w:p>
        </w:tc>
        <w:tc>
          <w:tcPr>
            <w:tcW w:type="dxa" w:w="1514"/>
          </w:tcPr>
          <w:p>
            <w:pPr>
              <w:spacing w:before="20" w:after="20"/>
            </w:pPr>
            <w:r/>
            <w:r>
              <w:rPr>
                <w:rFonts w:ascii="Verdana" w:hAnsi="Verdana"/>
                <w:b w:val="0"/>
                <w:sz w:val="16"/>
              </w:rPr>
              <w:t>Numéro de paquet</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0 25 075</w:t>
            </w:r>
          </w:p>
        </w:tc>
        <w:tc>
          <w:tcPr>
            <w:tcW w:type="dxa" w:w="1514"/>
          </w:tcPr>
          <w:p>
            <w:pPr>
              <w:spacing w:before="20" w:after="20"/>
            </w:pPr>
            <w:r/>
            <w:r>
              <w:rPr>
                <w:rFonts w:ascii="Verdana" w:hAnsi="Verdana"/>
                <w:b w:val="0"/>
                <w:sz w:val="16"/>
              </w:rPr>
              <w:t>Corrections d'antenne de satellite, numéro de version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0 25 076</w:t>
            </w:r>
          </w:p>
        </w:tc>
        <w:tc>
          <w:tcPr>
            <w:tcW w:type="dxa" w:w="1514"/>
          </w:tcPr>
          <w:p>
            <w:pPr>
              <w:spacing w:before="20" w:after="20"/>
            </w:pPr>
            <w:r/>
            <w:r>
              <w:rPr>
                <w:rFonts w:ascii="Verdana" w:hAnsi="Verdana"/>
                <w:b w:val="0"/>
                <w:sz w:val="16"/>
              </w:rPr>
              <w:t>Log10 du numéro d'onde centrale de la luminance énergétique pour la mesure de la température, dans le cas du sondeur ATOVS</w:t>
            </w:r>
          </w:p>
        </w:tc>
        <w:tc>
          <w:tcPr>
            <w:tcW w:type="dxa" w:w="1514"/>
          </w:tcPr>
          <w:p>
            <w:pPr>
              <w:spacing w:before="20" w:after="20"/>
            </w:pPr>
            <w:r/>
            <w:r>
              <w:rPr>
                <w:rFonts w:ascii="Verdana" w:hAnsi="Verdana"/>
                <w:sz w:val="16"/>
              </w:rPr>
              <w:t>log (m</w:t>
            </w:r>
            <w:r>
              <w:rPr>
                <w:rFonts w:ascii="Verdana" w:hAnsi="Verdana"/>
                <w:sz w:val="16"/>
                <w:vertAlign w:val="superscript"/>
              </w:rPr>
              <w:t>-1</w:t>
            </w:r>
            <w:r>
              <w:rPr>
                <w:rFonts w:ascii="Verdana" w:hAnsi="Verdana"/>
                <w:sz w:val="16"/>
              </w:rPr>
              <w:t>)</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log (m</w:t>
            </w:r>
            <w:r>
              <w:rPr>
                <w:rFonts w:ascii="Verdana" w:hAnsi="Verdana"/>
                <w:sz w:val="16"/>
                <w:vertAlign w:val="superscript"/>
              </w:rPr>
              <w:t>-1</w:t>
            </w:r>
            <w:r>
              <w:rPr>
                <w:rFonts w:ascii="Verdana" w:hAnsi="Verdana"/>
                <w:sz w:val="16"/>
              </w:rPr>
              <w:t>)</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0 25 077</w:t>
            </w:r>
          </w:p>
        </w:tc>
        <w:tc>
          <w:tcPr>
            <w:tcW w:type="dxa" w:w="1514"/>
          </w:tcPr>
          <w:p>
            <w:pPr>
              <w:spacing w:before="20" w:after="20"/>
            </w:pPr>
            <w:r/>
            <w:r>
              <w:rPr>
                <w:rFonts w:ascii="Verdana" w:hAnsi="Verdana"/>
                <w:b w:val="0"/>
                <w:sz w:val="16"/>
              </w:rPr>
              <w:t>Coefficient 1 de correction de largeur de bande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-100000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0 25 078</w:t>
            </w:r>
          </w:p>
        </w:tc>
        <w:tc>
          <w:tcPr>
            <w:tcW w:type="dxa" w:w="1514"/>
          </w:tcPr>
          <w:p>
            <w:pPr>
              <w:spacing w:before="20" w:after="20"/>
            </w:pPr>
            <w:r/>
            <w:r>
              <w:rPr>
                <w:rFonts w:ascii="Verdana" w:hAnsi="Verdana"/>
                <w:b w:val="0"/>
                <w:sz w:val="16"/>
              </w:rPr>
              <w:t>Coefficient 2 de correction de largeur de bande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0 25 079</w:t>
            </w:r>
          </w:p>
        </w:tc>
        <w:tc>
          <w:tcPr>
            <w:tcW w:type="dxa" w:w="1514"/>
          </w:tcPr>
          <w:p>
            <w:pPr>
              <w:spacing w:before="20" w:after="20"/>
            </w:pPr>
            <w:r/>
            <w:r>
              <w:rPr>
                <w:rFonts w:ascii="Verdana" w:hAnsi="Verdana"/>
                <w:b w:val="0"/>
                <w:sz w:val="16"/>
              </w:rPr>
              <w:t>Luminance énergétique d'albédo - éclairement énergétique après filtrage solaire, pour le sondeur ATOVS</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W m</w:t>
            </w:r>
            <w:r>
              <w:rPr>
                <w:rFonts w:ascii="Verdana" w:hAnsi="Verdana"/>
                <w:sz w:val="16"/>
                <w:vertAlign w:val="superscript"/>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0 25 080</w:t>
            </w:r>
          </w:p>
        </w:tc>
        <w:tc>
          <w:tcPr>
            <w:tcW w:type="dxa" w:w="1514"/>
          </w:tcPr>
          <w:p>
            <w:pPr>
              <w:spacing w:before="20" w:after="20"/>
            </w:pPr>
            <w:r/>
            <w:r>
              <w:rPr>
                <w:rFonts w:ascii="Verdana" w:hAnsi="Verdana"/>
                <w:b w:val="0"/>
                <w:sz w:val="16"/>
              </w:rPr>
              <w:t>Luminance énergétique d'albédo - largeur équivalente du filtre, pour le sondeur ATOVS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0 25 081</w:t>
            </w:r>
          </w:p>
        </w:tc>
        <w:tc>
          <w:tcPr>
            <w:tcW w:type="dxa" w:w="1514"/>
          </w:tcPr>
          <w:p>
            <w:pPr>
              <w:spacing w:before="20" w:after="20"/>
            </w:pPr>
            <w:r/>
            <w:r>
              <w:rPr>
                <w:rFonts w:ascii="Verdana" w:hAnsi="Verdana"/>
                <w:b w:val="0"/>
                <w:sz w:val="16"/>
              </w:rPr>
              <w:t>Angle d'incidence</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0 25 082</w:t>
            </w:r>
          </w:p>
        </w:tc>
        <w:tc>
          <w:tcPr>
            <w:tcW w:type="dxa" w:w="1514"/>
          </w:tcPr>
          <w:p>
            <w:pPr>
              <w:spacing w:before="20" w:after="20"/>
            </w:pPr>
            <w:r/>
            <w:r>
              <w:rPr>
                <w:rFonts w:ascii="Verdana" w:hAnsi="Verdana"/>
                <w:b w:val="0"/>
                <w:sz w:val="16"/>
              </w:rPr>
              <w:t>Angle d'azimut</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0 25 083</w:t>
            </w:r>
          </w:p>
        </w:tc>
        <w:tc>
          <w:tcPr>
            <w:tcW w:type="dxa" w:w="1514"/>
          </w:tcPr>
          <w:p>
            <w:pPr>
              <w:spacing w:before="20" w:after="20"/>
            </w:pPr>
            <w:r/>
            <w:r>
              <w:rPr>
                <w:rFonts w:ascii="Verdana" w:hAnsi="Verdana"/>
                <w:b w:val="0"/>
                <w:sz w:val="16"/>
              </w:rPr>
              <w:t>Angle de rotation Faraday</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0 25 084</w:t>
            </w:r>
          </w:p>
        </w:tc>
        <w:tc>
          <w:tcPr>
            <w:tcW w:type="dxa" w:w="1514"/>
          </w:tcPr>
          <w:p>
            <w:pPr>
              <w:spacing w:before="20" w:after="20"/>
            </w:pPr>
            <w:r/>
            <w:r>
              <w:rPr>
                <w:rFonts w:ascii="Verdana" w:hAnsi="Verdana"/>
                <w:b w:val="0"/>
                <w:sz w:val="16"/>
              </w:rPr>
              <w:t>Angle de rotation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0 25 085</w:t>
            </w:r>
          </w:p>
        </w:tc>
        <w:tc>
          <w:tcPr>
            <w:tcW w:type="dxa" w:w="1514"/>
          </w:tcPr>
          <w:p>
            <w:pPr>
              <w:spacing w:before="20" w:after="20"/>
            </w:pPr>
            <w:r/>
            <w:r>
              <w:rPr>
                <w:rFonts w:ascii="Verdana" w:hAnsi="Verdana"/>
                <w:b w:val="0"/>
                <w:sz w:val="16"/>
              </w:rPr>
              <w:t>Fraction de pixels clairs dans le champ de vision du sondeur HIRS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0 25 086</w:t>
            </w:r>
          </w:p>
        </w:tc>
        <w:tc>
          <w:tcPr>
            <w:tcW w:type="dxa" w:w="1514"/>
          </w:tcPr>
          <w:p>
            <w:pPr>
              <w:spacing w:before="20" w:after="20"/>
            </w:pPr>
            <w:r/>
            <w:r>
              <w:rPr>
                <w:rFonts w:ascii="Verdana" w:hAnsi="Verdana"/>
                <w:b w:val="0"/>
                <w:sz w:val="16"/>
              </w:rPr>
              <w:t>Indicateur de correction de la profondeur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0 25 090</w:t>
            </w:r>
          </w:p>
        </w:tc>
        <w:tc>
          <w:tcPr>
            <w:tcW w:type="dxa" w:w="1514"/>
          </w:tcPr>
          <w:p>
            <w:pPr>
              <w:spacing w:before="20" w:after="20"/>
            </w:pPr>
            <w:r/>
            <w:r>
              <w:rPr>
                <w:rFonts w:ascii="Verdana" w:hAnsi="Verdana"/>
                <w:b w:val="0"/>
                <w:sz w:val="16"/>
              </w:rPr>
              <w:t>Indicateur de l'état de l'orbite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0 25 091</w:t>
            </w:r>
          </w:p>
        </w:tc>
        <w:tc>
          <w:tcPr>
            <w:tcW w:type="dxa" w:w="1514"/>
          </w:tcPr>
          <w:p>
            <w:pPr>
              <w:spacing w:before="20" w:after="20"/>
            </w:pPr>
            <w:r/>
            <w:r>
              <w:rPr>
                <w:rFonts w:ascii="Verdana" w:hAnsi="Verdana"/>
                <w:b w:val="0"/>
                <w:sz w:val="16"/>
              </w:rPr>
              <w:t>Constante structurelle de l'indice de réfraction (Cn2)</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-18192</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dB</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0 25 092</w:t>
            </w:r>
          </w:p>
        </w:tc>
        <w:tc>
          <w:tcPr>
            <w:tcW w:type="dxa" w:w="1514"/>
          </w:tcPr>
          <w:p>
            <w:pPr>
              <w:spacing w:before="20" w:after="20"/>
            </w:pPr>
            <w:r/>
            <w:r>
              <w:rPr>
                <w:rFonts w:ascii="Verdana" w:hAnsi="Verdana"/>
                <w:b w:val="0"/>
                <w:sz w:val="16"/>
              </w:rPr>
              <w:t>Vitesse de propagation acoustique</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28000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0 25 093</w:t>
            </w:r>
          </w:p>
        </w:tc>
        <w:tc>
          <w:tcPr>
            <w:tcW w:type="dxa" w:w="1514"/>
          </w:tcPr>
          <w:p>
            <w:pPr>
              <w:spacing w:before="20" w:after="20"/>
            </w:pPr>
            <w:r/>
            <w:r>
              <w:rPr>
                <w:rFonts w:ascii="Verdana" w:hAnsi="Verdana"/>
                <w:b w:val="0"/>
                <w:sz w:val="16"/>
              </w:rPr>
              <w:t>Correction des données RASS (Système de sondage radio-acoustique)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0 25 095</w:t>
            </w:r>
          </w:p>
        </w:tc>
        <w:tc>
          <w:tcPr>
            <w:tcW w:type="dxa" w:w="1514"/>
          </w:tcPr>
          <w:p>
            <w:pPr>
              <w:spacing w:before="20" w:after="20"/>
            </w:pPr>
            <w:r/>
            <w:r>
              <w:rPr>
                <w:rFonts w:ascii="Verdana" w:hAnsi="Verdana"/>
                <w:b w:val="0"/>
                <w:sz w:val="16"/>
              </w:rPr>
              <w:t>Indicateur de l'état de l'altimètre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0 25 096</w:t>
            </w:r>
          </w:p>
        </w:tc>
        <w:tc>
          <w:tcPr>
            <w:tcW w:type="dxa" w:w="1514"/>
          </w:tcPr>
          <w:p>
            <w:pPr>
              <w:spacing w:before="20" w:after="20"/>
            </w:pPr>
            <w:r/>
            <w:r>
              <w:rPr>
                <w:rFonts w:ascii="Verdana" w:hAnsi="Verdana"/>
                <w:b w:val="0"/>
                <w:sz w:val="16"/>
              </w:rPr>
              <w:t>Indicateur de l'état du radiomètre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0 25 097</w:t>
            </w:r>
          </w:p>
        </w:tc>
        <w:tc>
          <w:tcPr>
            <w:tcW w:type="dxa" w:w="1514"/>
          </w:tcPr>
          <w:p>
            <w:pPr>
              <w:spacing w:before="20" w:after="20"/>
            </w:pPr>
            <w:r/>
            <w:r>
              <w:rPr>
                <w:rFonts w:ascii="Verdana" w:hAnsi="Verdana"/>
                <w:b w:val="0"/>
                <w:sz w:val="16"/>
              </w:rPr>
              <w:t>Erreur tridimensionnelle estimative de l'orbite du navigateur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0 25 098</w:t>
            </w:r>
          </w:p>
        </w:tc>
        <w:tc>
          <w:tcPr>
            <w:tcW w:type="dxa" w:w="1514"/>
          </w:tcPr>
          <w:p>
            <w:pPr>
              <w:spacing w:before="20" w:after="20"/>
            </w:pPr>
            <w:r/>
            <w:r>
              <w:rPr>
                <w:rFonts w:ascii="Verdana" w:hAnsi="Verdana"/>
                <w:b w:val="0"/>
                <w:sz w:val="16"/>
              </w:rPr>
              <w:t>Indicateur de qualité des données de l'altimètre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0 25 099</w:t>
            </w:r>
          </w:p>
        </w:tc>
        <w:tc>
          <w:tcPr>
            <w:tcW w:type="dxa" w:w="1514"/>
          </w:tcPr>
          <w:p>
            <w:pPr>
              <w:spacing w:before="20" w:after="20"/>
            </w:pPr>
            <w:r/>
            <w:r>
              <w:rPr>
                <w:rFonts w:ascii="Verdana" w:hAnsi="Verdana"/>
                <w:b w:val="0"/>
                <w:sz w:val="16"/>
              </w:rPr>
              <w:t>Indicateur de qualité de la correction de l'altimètre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0 25 100</w:t>
            </w:r>
          </w:p>
        </w:tc>
        <w:tc>
          <w:tcPr>
            <w:tcW w:type="dxa" w:w="1514"/>
          </w:tcPr>
          <w:p>
            <w:pPr>
              <w:spacing w:before="20" w:after="20"/>
            </w:pPr>
            <w:r/>
            <w:r>
              <w:rPr>
                <w:rFonts w:ascii="Verdana" w:hAnsi="Verdana"/>
                <w:b w:val="0"/>
                <w:sz w:val="16"/>
              </w:rPr>
              <w:t>Coefficient a de l'équation de la vitesse de chute des XBT/XCTD</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0 25 101</w:t>
            </w:r>
          </w:p>
        </w:tc>
        <w:tc>
          <w:tcPr>
            <w:tcW w:type="dxa" w:w="1514"/>
          </w:tcPr>
          <w:p>
            <w:pPr>
              <w:spacing w:before="20" w:after="20"/>
            </w:pPr>
            <w:r/>
            <w:r>
              <w:rPr>
                <w:rFonts w:ascii="Verdana" w:hAnsi="Verdana"/>
                <w:b w:val="0"/>
                <w:sz w:val="16"/>
              </w:rPr>
              <w:t>Coefficient b de l'équation de la vitesse de chute des XBT/XCTD</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-500000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0 25 102</w:t>
            </w:r>
          </w:p>
        </w:tc>
        <w:tc>
          <w:tcPr>
            <w:tcW w:type="dxa" w:w="1514"/>
          </w:tcPr>
          <w:p>
            <w:pPr>
              <w:spacing w:before="20" w:after="20"/>
            </w:pPr>
            <w:r/>
            <w:r>
              <w:rPr>
                <w:rFonts w:ascii="Verdana" w:hAnsi="Verdana"/>
                <w:b w:val="0"/>
                <w:sz w:val="16"/>
              </w:rPr>
              <w:t>Nombre de lignes manquantes hors données manquantes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0 25 103</w:t>
            </w:r>
          </w:p>
        </w:tc>
        <w:tc>
          <w:tcPr>
            <w:tcW w:type="dxa" w:w="1514"/>
          </w:tcPr>
          <w:p>
            <w:pPr>
              <w:spacing w:before="20" w:after="20"/>
            </w:pPr>
            <w:r/>
            <w:r>
              <w:rPr>
                <w:rFonts w:ascii="Verdana" w:hAnsi="Verdana"/>
                <w:b w:val="0"/>
                <w:sz w:val="16"/>
              </w:rPr>
              <w:t>Nombre de cellules en direction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0 25 104</w:t>
            </w:r>
          </w:p>
        </w:tc>
        <w:tc>
          <w:tcPr>
            <w:tcW w:type="dxa" w:w="1514"/>
          </w:tcPr>
          <w:p>
            <w:pPr>
              <w:spacing w:before="20" w:after="20"/>
            </w:pPr>
            <w:r/>
            <w:r>
              <w:rPr>
                <w:rFonts w:ascii="Verdana" w:hAnsi="Verdana"/>
                <w:b w:val="0"/>
                <w:sz w:val="16"/>
              </w:rPr>
              <w:t>Nombre de cellules en longueur d'onde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0 25 105</w:t>
            </w:r>
          </w:p>
        </w:tc>
        <w:tc>
          <w:tcPr>
            <w:tcW w:type="dxa" w:w="1514"/>
          </w:tcPr>
          <w:p>
            <w:pPr>
              <w:spacing w:before="20" w:after="20"/>
            </w:pPr>
            <w:r/>
            <w:r>
              <w:rPr>
                <w:rFonts w:ascii="Verdana" w:hAnsi="Verdana"/>
                <w:b w:val="0"/>
                <w:sz w:val="16"/>
              </w:rPr>
              <w:t>Première cellule en direction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0 25 106</w:t>
            </w:r>
          </w:p>
        </w:tc>
        <w:tc>
          <w:tcPr>
            <w:tcW w:type="dxa" w:w="1514"/>
          </w:tcPr>
          <w:p>
            <w:pPr>
              <w:spacing w:before="20" w:after="20"/>
            </w:pPr>
            <w:r/>
            <w:r>
              <w:rPr>
                <w:rFonts w:ascii="Verdana" w:hAnsi="Verdana"/>
                <w:b w:val="0"/>
                <w:sz w:val="16"/>
              </w:rPr>
              <w:t>Incrément de cellule en direction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0 25 107</w:t>
            </w:r>
          </w:p>
        </w:tc>
        <w:tc>
          <w:tcPr>
            <w:tcW w:type="dxa" w:w="1514"/>
          </w:tcPr>
          <w:p>
            <w:pPr>
              <w:spacing w:before="20" w:after="20"/>
            </w:pPr>
            <w:r/>
            <w:r>
              <w:rPr>
                <w:rFonts w:ascii="Verdana" w:hAnsi="Verdana"/>
                <w:b w:val="0"/>
                <w:sz w:val="16"/>
              </w:rPr>
              <w:t>Première cellule en longueur d'onde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0 25 108</w:t>
            </w:r>
          </w:p>
        </w:tc>
        <w:tc>
          <w:tcPr>
            <w:tcW w:type="dxa" w:w="1514"/>
          </w:tcPr>
          <w:p>
            <w:pPr>
              <w:spacing w:before="20" w:after="20"/>
            </w:pPr>
            <w:r/>
            <w:r>
              <w:rPr>
                <w:rFonts w:ascii="Verdana" w:hAnsi="Verdana"/>
                <w:b w:val="0"/>
                <w:sz w:val="16"/>
              </w:rPr>
              <w:t>Dernière cellule en longueur d'onde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0 25 110</w:t>
            </w:r>
          </w:p>
        </w:tc>
        <w:tc>
          <w:tcPr>
            <w:tcW w:type="dxa" w:w="1514"/>
          </w:tcPr>
          <w:p>
            <w:pPr>
              <w:spacing w:before="20" w:after="20"/>
            </w:pPr>
            <w:r/>
            <w:r>
              <w:rPr>
                <w:rFonts w:ascii="Verdana" w:hAnsi="Verdana"/>
                <w:b w:val="0"/>
                <w:sz w:val="16"/>
              </w:rPr>
              <w:t>Traitement de l'image en abrégé</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0 25 111</w:t>
            </w:r>
          </w:p>
        </w:tc>
        <w:tc>
          <w:tcPr>
            <w:tcW w:type="dxa" w:w="1514"/>
          </w:tcPr>
          <w:p>
            <w:pPr>
              <w:spacing w:before="20" w:after="20"/>
            </w:pPr>
            <w:r/>
            <w:r>
              <w:rPr>
                <w:rFonts w:ascii="Verdana" w:hAnsi="Verdana"/>
                <w:b w:val="0"/>
                <w:sz w:val="16"/>
              </w:rPr>
              <w:t>Nombre de données manquantes à la réception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0 25 112</w:t>
            </w:r>
          </w:p>
        </w:tc>
        <w:tc>
          <w:tcPr>
            <w:tcW w:type="dxa" w:w="1514"/>
          </w:tcPr>
          <w:p>
            <w:pPr>
              <w:spacing w:before="20" w:after="20"/>
            </w:pPr>
            <w:r/>
            <w:r>
              <w:rPr>
                <w:rFonts w:ascii="Verdana" w:hAnsi="Verdana"/>
                <w:b w:val="0"/>
                <w:sz w:val="16"/>
              </w:rPr>
              <w:t>Indicateur de qualité des données de l'altimètre dans une bande précise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0 25 113</w:t>
            </w:r>
          </w:p>
        </w:tc>
        <w:tc>
          <w:tcPr>
            <w:tcW w:type="dxa" w:w="1514"/>
          </w:tcPr>
          <w:p>
            <w:pPr>
              <w:spacing w:before="20" w:after="20"/>
            </w:pPr>
            <w:r/>
            <w:r>
              <w:rPr>
                <w:rFonts w:ascii="Verdana" w:hAnsi="Verdana"/>
                <w:b w:val="0"/>
                <w:sz w:val="16"/>
              </w:rPr>
              <w:t>Indicateur de qualité de la correction de l'altimètre dans une bande précise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0 25 120</w:t>
            </w:r>
          </w:p>
        </w:tc>
        <w:tc>
          <w:tcPr>
            <w:tcW w:type="dxa" w:w="1514"/>
          </w:tcPr>
          <w:p>
            <w:pPr>
              <w:spacing w:before="20" w:after="20"/>
            </w:pPr>
            <w:r/>
            <w:r>
              <w:rPr>
                <w:rFonts w:ascii="Verdana" w:hAnsi="Verdana"/>
                <w:b w:val="0"/>
                <w:sz w:val="16"/>
              </w:rPr>
              <w:t>Indicateur de traitement de niveau 2 - données RA-2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0 25 121</w:t>
            </w:r>
          </w:p>
        </w:tc>
        <w:tc>
          <w:tcPr>
            <w:tcW w:type="dxa" w:w="1514"/>
          </w:tcPr>
          <w:p>
            <w:pPr>
              <w:spacing w:before="20" w:after="20"/>
            </w:pPr>
            <w:r/>
            <w:r>
              <w:rPr>
                <w:rFonts w:ascii="Verdana" w:hAnsi="Verdana"/>
                <w:b w:val="0"/>
                <w:sz w:val="16"/>
              </w:rPr>
              <w:t>Qualité du traitement de niveau 2 - données RA-2</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0 25 122</w:t>
            </w:r>
          </w:p>
        </w:tc>
        <w:tc>
          <w:tcPr>
            <w:tcW w:type="dxa" w:w="1514"/>
          </w:tcPr>
          <w:p>
            <w:pPr>
              <w:spacing w:before="20" w:after="20"/>
            </w:pPr>
            <w:r/>
            <w:r>
              <w:rPr>
                <w:rFonts w:ascii="Verdana" w:hAnsi="Verdana"/>
                <w:b w:val="0"/>
                <w:sz w:val="16"/>
              </w:rPr>
              <w:t>Configuration matérielle - radiofréquence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0 25 123</w:t>
            </w:r>
          </w:p>
        </w:tc>
        <w:tc>
          <w:tcPr>
            <w:tcW w:type="dxa" w:w="1514"/>
          </w:tcPr>
          <w:p>
            <w:pPr>
              <w:spacing w:before="20" w:after="20"/>
            </w:pPr>
            <w:r/>
            <w:r>
              <w:rPr>
                <w:rFonts w:ascii="Verdana" w:hAnsi="Verdana"/>
                <w:b w:val="0"/>
                <w:sz w:val="16"/>
              </w:rPr>
              <w:t>Configuration matérielle - amplificateur de grande puissance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0 25 124</w:t>
            </w:r>
          </w:p>
        </w:tc>
        <w:tc>
          <w:tcPr>
            <w:tcW w:type="dxa" w:w="1514"/>
          </w:tcPr>
          <w:p>
            <w:pPr>
              <w:spacing w:before="20" w:after="20"/>
            </w:pPr>
            <w:r/>
            <w:r>
              <w:rPr>
                <w:rFonts w:ascii="Verdana" w:hAnsi="Verdana"/>
                <w:b w:val="0"/>
                <w:sz w:val="16"/>
              </w:rPr>
              <w:t>Indicateur de traitement de niveau 2 - données MWR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0 25 125</w:t>
            </w:r>
          </w:p>
        </w:tc>
        <w:tc>
          <w:tcPr>
            <w:tcW w:type="dxa" w:w="1514"/>
          </w:tcPr>
          <w:p>
            <w:pPr>
              <w:spacing w:before="20" w:after="20"/>
            </w:pPr>
            <w:r/>
            <w:r>
              <w:rPr>
                <w:rFonts w:ascii="Verdana" w:hAnsi="Verdana"/>
                <w:b w:val="0"/>
                <w:sz w:val="16"/>
              </w:rPr>
              <w:t>Qualité du traitement de niveau 2 - données MWR</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0 25 126</w:t>
            </w:r>
          </w:p>
        </w:tc>
        <w:tc>
          <w:tcPr>
            <w:tcW w:type="dxa" w:w="1514"/>
          </w:tcPr>
          <w:p>
            <w:pPr>
              <w:spacing w:before="20" w:after="20"/>
            </w:pPr>
            <w:r/>
            <w:r>
              <w:rPr>
                <w:rFonts w:ascii="Verdana" w:hAnsi="Verdana"/>
                <w:b w:val="0"/>
                <w:sz w:val="16"/>
              </w:rPr>
              <w:t>Correction de troposphère sèche - modèle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0 25 127</w:t>
            </w:r>
          </w:p>
        </w:tc>
        <w:tc>
          <w:tcPr>
            <w:tcW w:type="dxa" w:w="1514"/>
          </w:tcPr>
          <w:p>
            <w:pPr>
              <w:spacing w:before="20" w:after="20"/>
            </w:pPr>
            <w:r/>
            <w:r>
              <w:rPr>
                <w:rFonts w:ascii="Verdana" w:hAnsi="Verdana"/>
                <w:b w:val="0"/>
                <w:sz w:val="16"/>
              </w:rPr>
              <w:t>Correction de baromètre inverse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0 25 128</w:t>
            </w:r>
          </w:p>
        </w:tc>
        <w:tc>
          <w:tcPr>
            <w:tcW w:type="dxa" w:w="1514"/>
          </w:tcPr>
          <w:p>
            <w:pPr>
              <w:spacing w:before="20" w:after="20"/>
            </w:pPr>
            <w:r/>
            <w:r>
              <w:rPr>
                <w:rFonts w:ascii="Verdana" w:hAnsi="Verdana"/>
                <w:b w:val="0"/>
                <w:sz w:val="16"/>
              </w:rPr>
              <w:t>Correction de troposphère humide - modèle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0 25 129</w:t>
            </w:r>
          </w:p>
        </w:tc>
        <w:tc>
          <w:tcPr>
            <w:tcW w:type="dxa" w:w="1514"/>
          </w:tcPr>
          <w:p>
            <w:pPr>
              <w:spacing w:before="20" w:after="20"/>
            </w:pPr>
            <w:r/>
            <w:r>
              <w:rPr>
                <w:rFonts w:ascii="Verdana" w:hAnsi="Verdana"/>
                <w:b w:val="0"/>
                <w:sz w:val="16"/>
              </w:rPr>
              <w:t>Correction de troposphère humide - données MWR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0 25 130</w:t>
            </w:r>
          </w:p>
        </w:tc>
        <w:tc>
          <w:tcPr>
            <w:tcW w:type="dxa" w:w="1514"/>
          </w:tcPr>
          <w:p>
            <w:pPr>
              <w:spacing w:before="20" w:after="20"/>
            </w:pPr>
            <w:r/>
            <w:r>
              <w:rPr>
                <w:rFonts w:ascii="Verdana" w:hAnsi="Verdana"/>
                <w:b w:val="0"/>
                <w:sz w:val="16"/>
              </w:rPr>
              <w:t>Correction ionosphérique - données RA-2 en bande Ku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0 25 131</w:t>
            </w:r>
          </w:p>
        </w:tc>
        <w:tc>
          <w:tcPr>
            <w:tcW w:type="dxa" w:w="1514"/>
          </w:tcPr>
          <w:p>
            <w:pPr>
              <w:spacing w:before="20" w:after="20"/>
            </w:pPr>
            <w:r/>
            <w:r>
              <w:rPr>
                <w:rFonts w:ascii="Verdana" w:hAnsi="Verdana"/>
                <w:b w:val="0"/>
                <w:sz w:val="16"/>
              </w:rPr>
              <w:t>Correction ionosphérique - données Doris en bande Ku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0 25 132</w:t>
            </w:r>
          </w:p>
        </w:tc>
        <w:tc>
          <w:tcPr>
            <w:tcW w:type="dxa" w:w="1514"/>
          </w:tcPr>
          <w:p>
            <w:pPr>
              <w:spacing w:before="20" w:after="20"/>
            </w:pPr>
            <w:r/>
            <w:r>
              <w:rPr>
                <w:rFonts w:ascii="Verdana" w:hAnsi="Verdana"/>
                <w:b w:val="0"/>
                <w:sz w:val="16"/>
              </w:rPr>
              <w:t>Correction ionosphérique - modèle en bande Ku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0 25 133</w:t>
            </w:r>
          </w:p>
        </w:tc>
        <w:tc>
          <w:tcPr>
            <w:tcW w:type="dxa" w:w="1514"/>
          </w:tcPr>
          <w:p>
            <w:pPr>
              <w:spacing w:before="20" w:after="20"/>
            </w:pPr>
            <w:r/>
            <w:r>
              <w:rPr>
                <w:rFonts w:ascii="Verdana" w:hAnsi="Verdana"/>
                <w:b w:val="0"/>
                <w:sz w:val="16"/>
              </w:rPr>
              <w:t>Correction du biais d'état de la mer en bande Ku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0 25 134</w:t>
            </w:r>
          </w:p>
        </w:tc>
        <w:tc>
          <w:tcPr>
            <w:tcW w:type="dxa" w:w="1514"/>
          </w:tcPr>
          <w:p>
            <w:pPr>
              <w:spacing w:before="20" w:after="20"/>
            </w:pPr>
            <w:r/>
            <w:r>
              <w:rPr>
                <w:rFonts w:ascii="Verdana" w:hAnsi="Verdana"/>
                <w:b w:val="0"/>
                <w:sz w:val="16"/>
              </w:rPr>
              <w:t>Correction ionosphérique - données RA-2 en bande 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0 25 135</w:t>
            </w:r>
          </w:p>
        </w:tc>
        <w:tc>
          <w:tcPr>
            <w:tcW w:type="dxa" w:w="1514"/>
          </w:tcPr>
          <w:p>
            <w:pPr>
              <w:spacing w:before="20" w:after="20"/>
            </w:pPr>
            <w:r/>
            <w:r>
              <w:rPr>
                <w:rFonts w:ascii="Verdana" w:hAnsi="Verdana"/>
                <w:b w:val="0"/>
                <w:sz w:val="16"/>
              </w:rPr>
              <w:t>Correction ionosphérique - données Doris en bande 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0 25 136</w:t>
            </w:r>
          </w:p>
        </w:tc>
        <w:tc>
          <w:tcPr>
            <w:tcW w:type="dxa" w:w="1514"/>
          </w:tcPr>
          <w:p>
            <w:pPr>
              <w:spacing w:before="20" w:after="20"/>
            </w:pPr>
            <w:r/>
            <w:r>
              <w:rPr>
                <w:rFonts w:ascii="Verdana" w:hAnsi="Verdana"/>
                <w:b w:val="0"/>
                <w:sz w:val="16"/>
              </w:rPr>
              <w:t>Correction ionosphérique - modèle en bande 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0 25 137</w:t>
            </w:r>
          </w:p>
        </w:tc>
        <w:tc>
          <w:tcPr>
            <w:tcW w:type="dxa" w:w="1514"/>
          </w:tcPr>
          <w:p>
            <w:pPr>
              <w:spacing w:before="20" w:after="20"/>
            </w:pPr>
            <w:r/>
            <w:r>
              <w:rPr>
                <w:rFonts w:ascii="Verdana" w:hAnsi="Verdana"/>
                <w:b w:val="0"/>
                <w:sz w:val="16"/>
              </w:rPr>
              <w:t>Correction du biais d'état de la mer en bande 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0 25 138</w:t>
            </w:r>
          </w:p>
        </w:tc>
        <w:tc>
          <w:tcPr>
            <w:tcW w:type="dxa" w:w="1514"/>
          </w:tcPr>
          <w:p>
            <w:pPr>
              <w:spacing w:before="20" w:after="20"/>
            </w:pPr>
            <w:r/>
            <w:r>
              <w:rPr>
                <w:rFonts w:ascii="Verdana" w:hAnsi="Verdana"/>
                <w:b w:val="0"/>
                <w:sz w:val="16"/>
              </w:rPr>
              <w:t>Rapport signal-bruit moyen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-2048</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0 25 140</w:t>
            </w:r>
          </w:p>
        </w:tc>
        <w:tc>
          <w:tcPr>
            <w:tcW w:type="dxa" w:w="1514"/>
          </w:tcPr>
          <w:p>
            <w:pPr>
              <w:spacing w:before="20" w:after="20"/>
            </w:pPr>
            <w:r/>
            <w:r>
              <w:rPr>
                <w:rFonts w:ascii="Verdana" w:hAnsi="Verdana"/>
                <w:b w:val="0"/>
                <w:sz w:val="16"/>
              </w:rPr>
              <w:t>Début canal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0 25 141</w:t>
            </w:r>
          </w:p>
        </w:tc>
        <w:tc>
          <w:tcPr>
            <w:tcW w:type="dxa" w:w="1514"/>
          </w:tcPr>
          <w:p>
            <w:pPr>
              <w:spacing w:before="20" w:after="20"/>
            </w:pPr>
            <w:r/>
            <w:r>
              <w:rPr>
                <w:rFonts w:ascii="Verdana" w:hAnsi="Verdana"/>
                <w:b w:val="0"/>
                <w:sz w:val="16"/>
              </w:rPr>
              <w:t>Fin canal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0 25 142</w:t>
            </w:r>
          </w:p>
        </w:tc>
        <w:tc>
          <w:tcPr>
            <w:tcW w:type="dxa" w:w="1514"/>
          </w:tcPr>
          <w:p>
            <w:pPr>
              <w:spacing w:before="20" w:after="20"/>
            </w:pPr>
            <w:r/>
            <w:r>
              <w:rPr>
                <w:rFonts w:ascii="Verdana" w:hAnsi="Verdana"/>
                <w:b w:val="0"/>
                <w:sz w:val="16"/>
              </w:rPr>
              <w:t>Facteur d'échelle du canal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0 25 143</w:t>
            </w:r>
          </w:p>
        </w:tc>
        <w:tc>
          <w:tcPr>
            <w:tcW w:type="dxa" w:w="1514"/>
          </w:tcPr>
          <w:p>
            <w:pPr>
              <w:spacing w:before="20" w:after="20"/>
            </w:pPr>
            <w:r/>
            <w:r>
              <w:rPr>
                <w:rFonts w:ascii="Verdana" w:hAnsi="Verdana"/>
                <w:b w:val="0"/>
                <w:sz w:val="16"/>
              </w:rPr>
              <w:t>Coefficient linéaire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-5000000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Note 57: L’indicatif d’appel du navire, ou l’indicatif OMM, devrait être signalé au moyen du descripteur 0 01 011.</w:t>
            </w:r>
          </w:p>
        </w:tc>
      </w:tr>
      <w:tr>
        <w:trPr>
          <w:cantSplit/>
        </w:trPr>
        <w:tc>
          <w:tcPr>
            <w:tcW w:type="dxa" w:w="1514"/>
          </w:tcPr>
          <w:p>
            <w:pPr>
              <w:spacing w:before="20" w:after="20"/>
            </w:pPr>
            <w:r/>
            <w:r>
              <w:rPr>
                <w:rFonts w:ascii="Verdana" w:hAnsi="Verdana"/>
                <w:b w:val="0"/>
                <w:sz w:val="16"/>
              </w:rPr>
              <w:t>0 25 148</w:t>
            </w:r>
          </w:p>
        </w:tc>
        <w:tc>
          <w:tcPr>
            <w:tcW w:type="dxa" w:w="1514"/>
          </w:tcPr>
          <w:p>
            <w:pPr>
              <w:spacing w:before="20" w:after="20"/>
            </w:pPr>
            <w:r/>
            <w:r>
              <w:rPr>
                <w:rFonts w:ascii="Verdana" w:hAnsi="Verdana"/>
                <w:b w:val="0"/>
                <w:sz w:val="16"/>
              </w:rPr>
              <w:t>Coefficient de variation</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0 25 149</w:t>
            </w:r>
          </w:p>
        </w:tc>
        <w:tc>
          <w:tcPr>
            <w:tcW w:type="dxa" w:w="1514"/>
          </w:tcPr>
          <w:p>
            <w:pPr>
              <w:spacing w:before="20" w:after="20"/>
            </w:pPr>
            <w:r/>
            <w:r>
              <w:rPr>
                <w:rFonts w:ascii="Verdana" w:hAnsi="Verdana"/>
                <w:b w:val="0"/>
                <w:sz w:val="16"/>
              </w:rPr>
              <w:t>Coût estimatif optimal</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0 25 150</w:t>
            </w:r>
          </w:p>
        </w:tc>
        <w:tc>
          <w:tcPr>
            <w:tcW w:type="dxa" w:w="1514"/>
          </w:tcPr>
          <w:p>
            <w:pPr>
              <w:spacing w:before="20" w:after="20"/>
            </w:pPr>
            <w:r/>
            <w:r>
              <w:rPr>
                <w:rFonts w:ascii="Verdana" w:hAnsi="Verdana"/>
                <w:b w:val="0"/>
                <w:sz w:val="16"/>
              </w:rPr>
              <w:t>Méthode d'analyse de l'intensité du cyclone tropical par les images de satellite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0 25 160</w:t>
            </w:r>
          </w:p>
        </w:tc>
        <w:tc>
          <w:tcPr>
            <w:tcW w:type="dxa" w:w="1514"/>
          </w:tcPr>
          <w:p>
            <w:pPr>
              <w:spacing w:before="20" w:after="20"/>
            </w:pPr>
            <w:r/>
            <w:r>
              <w:rPr>
                <w:rFonts w:ascii="Verdana" w:hAnsi="Verdana"/>
                <w:b w:val="0"/>
                <w:sz w:val="16"/>
              </w:rPr>
              <w:t>Correction finale de l'erreur instrumentale dans la bande Ku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-120000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0 25 161</w:t>
            </w:r>
          </w:p>
        </w:tc>
        <w:tc>
          <w:tcPr>
            <w:tcW w:type="dxa" w:w="1514"/>
          </w:tcPr>
          <w:p>
            <w:pPr>
              <w:spacing w:before="20" w:after="20"/>
            </w:pPr>
            <w:r/>
            <w:r>
              <w:rPr>
                <w:rFonts w:ascii="Verdana" w:hAnsi="Verdana"/>
                <w:b w:val="0"/>
                <w:sz w:val="16"/>
              </w:rPr>
              <w:t>Correction finale de l'erreur instrumentale dans la bande C</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-120000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0 25 162</w:t>
            </w:r>
          </w:p>
        </w:tc>
        <w:tc>
          <w:tcPr>
            <w:tcW w:type="dxa" w:w="1514"/>
          </w:tcPr>
          <w:p>
            <w:pPr>
              <w:spacing w:before="20" w:after="20"/>
            </w:pPr>
            <w:r/>
            <w:r>
              <w:rPr>
                <w:rFonts w:ascii="Verdana" w:hAnsi="Verdana"/>
                <w:b w:val="0"/>
                <w:sz w:val="16"/>
              </w:rPr>
              <w:t>Correction du biais d'état de la mer en bande C</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0 25 163</w:t>
            </w:r>
          </w:p>
        </w:tc>
        <w:tc>
          <w:tcPr>
            <w:tcW w:type="dxa" w:w="1514"/>
          </w:tcPr>
          <w:p>
            <w:pPr>
              <w:spacing w:before="20" w:after="20"/>
            </w:pPr>
            <w:r/>
            <w:r>
              <w:rPr>
                <w:rFonts w:ascii="Verdana" w:hAnsi="Verdana"/>
                <w:b w:val="0"/>
                <w:sz w:val="16"/>
              </w:rPr>
              <w:t>Correction ionosphérique de l'altimètre en bande Ku</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0 25 164</w:t>
            </w:r>
          </w:p>
        </w:tc>
        <w:tc>
          <w:tcPr>
            <w:tcW w:type="dxa" w:w="1514"/>
          </w:tcPr>
          <w:p>
            <w:pPr>
              <w:spacing w:before="20" w:after="20"/>
            </w:pPr>
            <w:r/>
            <w:r>
              <w:rPr>
                <w:rFonts w:ascii="Verdana" w:hAnsi="Verdana"/>
                <w:b w:val="0"/>
                <w:sz w:val="16"/>
              </w:rPr>
              <w:t>Correction de troposphère humide du radiomètre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0 25 165</w:t>
            </w:r>
          </w:p>
        </w:tc>
        <w:tc>
          <w:tcPr>
            <w:tcW w:type="dxa" w:w="1514"/>
          </w:tcPr>
          <w:p>
            <w:pPr>
              <w:spacing w:before="20" w:after="20"/>
            </w:pPr>
            <w:r/>
            <w:r>
              <w:rPr>
                <w:rFonts w:ascii="Verdana" w:hAnsi="Verdana"/>
                <w:b w:val="0"/>
                <w:sz w:val="16"/>
              </w:rPr>
              <w:t>Correction ionosphérique - modèle dans une bande précise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0 25 166</w:t>
            </w:r>
          </w:p>
        </w:tc>
        <w:tc>
          <w:tcPr>
            <w:tcW w:type="dxa" w:w="1514"/>
          </w:tcPr>
          <w:p>
            <w:pPr>
              <w:spacing w:before="20" w:after="20"/>
            </w:pPr>
            <w:r/>
            <w:r>
              <w:rPr>
                <w:rFonts w:ascii="Verdana" w:hAnsi="Verdana"/>
                <w:b w:val="0"/>
                <w:sz w:val="16"/>
              </w:rPr>
              <w:t>Correction du biais d'état de la mer dans une bande précise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-32768</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0 25 167</w:t>
            </w:r>
          </w:p>
        </w:tc>
        <w:tc>
          <w:tcPr>
            <w:tcW w:type="dxa" w:w="1514"/>
          </w:tcPr>
          <w:p>
            <w:pPr>
              <w:spacing w:before="20" w:after="20"/>
            </w:pPr>
            <w:r/>
            <w:r>
              <w:rPr>
                <w:rFonts w:ascii="Verdana" w:hAnsi="Verdana"/>
                <w:b w:val="0"/>
                <w:sz w:val="16"/>
              </w:rPr>
              <w:t>Correction finale de l'erreur instrumentale dans une bande précise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-120000</w:t>
            </w:r>
          </w:p>
        </w:tc>
        <w:tc>
          <w:tcPr>
            <w:tcW w:type="dxa" w:w="1514"/>
          </w:tcPr>
          <w:p>
            <w:pPr>
              <w:spacing w:before="20" w:after="20"/>
            </w:pPr>
            <w:r/>
            <w:r>
              <w:rPr>
                <w:rFonts w:ascii="Verdana" w:hAnsi="Verdana"/>
                <w:b w:val="0"/>
                <w:sz w:val="16"/>
              </w:rPr>
              <w:t>18</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0 25 170</w:t>
            </w:r>
          </w:p>
        </w:tc>
        <w:tc>
          <w:tcPr>
            <w:tcW w:type="dxa" w:w="1514"/>
          </w:tcPr>
          <w:p>
            <w:pPr>
              <w:spacing w:before="20" w:after="20"/>
            </w:pPr>
            <w:r/>
            <w:r>
              <w:rPr>
                <w:rFonts w:ascii="Verdana" w:hAnsi="Verdana"/>
                <w:b w:val="0"/>
                <w:sz w:val="16"/>
              </w:rPr>
              <w:t>Intervalle d'échantillonnage (temps)</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0 25 171</w:t>
            </w:r>
          </w:p>
        </w:tc>
        <w:tc>
          <w:tcPr>
            <w:tcW w:type="dxa" w:w="1514"/>
          </w:tcPr>
          <w:p>
            <w:pPr>
              <w:spacing w:before="20" w:after="20"/>
            </w:pPr>
            <w:r/>
            <w:r>
              <w:rPr>
                <w:rFonts w:ascii="Verdana" w:hAnsi="Verdana"/>
                <w:b w:val="0"/>
                <w:sz w:val="16"/>
              </w:rPr>
              <w:t>Période à laquelle correspond la valeur moyenne de l'échantillon</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0 25 172</w:t>
            </w:r>
          </w:p>
        </w:tc>
        <w:tc>
          <w:tcPr>
            <w:tcW w:type="dxa" w:w="1514"/>
          </w:tcPr>
          <w:p>
            <w:pPr>
              <w:spacing w:before="20" w:after="20"/>
            </w:pPr>
            <w:r/>
            <w:r>
              <w:rPr>
                <w:rFonts w:ascii="Verdana" w:hAnsi="Verdana"/>
                <w:b w:val="0"/>
                <w:sz w:val="16"/>
              </w:rPr>
              <w:t>Nombre d'échantillons</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0 25 174</w:t>
            </w:r>
          </w:p>
        </w:tc>
        <w:tc>
          <w:tcPr>
            <w:tcW w:type="dxa" w:w="1514"/>
          </w:tcPr>
          <w:p>
            <w:pPr>
              <w:spacing w:before="20" w:after="20"/>
            </w:pPr>
            <w:r/>
            <w:r>
              <w:rPr>
                <w:rFonts w:ascii="Verdana" w:hAnsi="Verdana"/>
                <w:b w:val="0"/>
                <w:sz w:val="16"/>
              </w:rPr>
              <w:t>Indicateur des informations SMOS</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0 25 175</w:t>
            </w:r>
          </w:p>
        </w:tc>
        <w:tc>
          <w:tcPr>
            <w:tcW w:type="dxa" w:w="1514"/>
          </w:tcPr>
          <w:p>
            <w:pPr>
              <w:spacing w:before="20" w:after="20"/>
            </w:pPr>
            <w:r/>
            <w:r>
              <w:rPr>
                <w:rFonts w:ascii="Verdana" w:hAnsi="Verdana"/>
                <w:b w:val="0"/>
                <w:sz w:val="16"/>
              </w:rPr>
              <w:t>Valeur résiduelle modifiée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103: Valeur résiduelle modifiée obtenue à partir de l’emplacement des capteurs et des rapports signal-bruit pour l’éclair.</w:t>
            </w:r>
          </w:p>
        </w:tc>
      </w:tr>
      <w:tr>
        <w:trPr>
          <w:cantSplit/>
        </w:trPr>
        <w:tc>
          <w:tcPr>
            <w:tcW w:type="dxa" w:w="1514"/>
          </w:tcPr>
          <w:p>
            <w:pPr>
              <w:spacing w:before="20" w:after="20"/>
            </w:pPr>
            <w:r/>
            <w:r>
              <w:rPr>
                <w:rFonts w:ascii="Verdana" w:hAnsi="Verdana"/>
                <w:b w:val="0"/>
                <w:sz w:val="16"/>
              </w:rPr>
              <w:t>0 25 180</w:t>
            </w:r>
          </w:p>
        </w:tc>
        <w:tc>
          <w:tcPr>
            <w:tcW w:type="dxa" w:w="1514"/>
          </w:tcPr>
          <w:p>
            <w:pPr>
              <w:spacing w:before="20" w:after="20"/>
            </w:pPr>
            <w:r/>
            <w:r>
              <w:rPr>
                <w:rFonts w:ascii="Verdana" w:hAnsi="Verdana"/>
                <w:b w:val="0"/>
                <w:sz w:val="16"/>
              </w:rPr>
              <w:t>Pourcentage en mode basse résolution</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0 25 181</w:t>
            </w:r>
          </w:p>
        </w:tc>
        <w:tc>
          <w:tcPr>
            <w:tcW w:type="dxa" w:w="1514"/>
          </w:tcPr>
          <w:p>
            <w:pPr>
              <w:spacing w:before="20" w:after="20"/>
            </w:pPr>
            <w:r/>
            <w:r>
              <w:rPr>
                <w:rFonts w:ascii="Verdana" w:hAnsi="Verdana"/>
                <w:b w:val="0"/>
                <w:sz w:val="16"/>
              </w:rPr>
              <w:t>Indicateur de traitement de niveau 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0 25 182</w:t>
            </w:r>
          </w:p>
        </w:tc>
        <w:tc>
          <w:tcPr>
            <w:tcW w:type="dxa" w:w="1514"/>
          </w:tcPr>
          <w:p>
            <w:pPr>
              <w:spacing w:before="20" w:after="20"/>
            </w:pPr>
            <w:r/>
            <w:r>
              <w:rPr>
                <w:rFonts w:ascii="Verdana" w:hAnsi="Verdana"/>
                <w:b w:val="0"/>
                <w:sz w:val="16"/>
              </w:rPr>
              <w:t>Indicateur de traitement de niveau 1</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0 25 183</w:t>
            </w:r>
          </w:p>
        </w:tc>
        <w:tc>
          <w:tcPr>
            <w:tcW w:type="dxa" w:w="1514"/>
          </w:tcPr>
          <w:p>
            <w:pPr>
              <w:spacing w:before="20" w:after="20"/>
            </w:pPr>
            <w:r/>
            <w:r>
              <w:rPr>
                <w:rFonts w:ascii="Verdana" w:hAnsi="Verdana"/>
                <w:b w:val="0"/>
                <w:sz w:val="16"/>
              </w:rPr>
              <w:t>Qualité du traitement de niveau 1</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0 25 184</w:t>
            </w:r>
          </w:p>
        </w:tc>
        <w:tc>
          <w:tcPr>
            <w:tcW w:type="dxa" w:w="1514"/>
          </w:tcPr>
          <w:p>
            <w:pPr>
              <w:spacing w:before="20" w:after="20"/>
            </w:pPr>
            <w:r/>
            <w:r>
              <w:rPr>
                <w:rFonts w:ascii="Verdana" w:hAnsi="Verdana"/>
                <w:b w:val="0"/>
                <w:sz w:val="16"/>
              </w:rPr>
              <w:t>Catégorie de produit de niveau 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0 25 185</w:t>
            </w:r>
          </w:p>
        </w:tc>
        <w:tc>
          <w:tcPr>
            <w:tcW w:type="dxa" w:w="1514"/>
          </w:tcPr>
          <w:p>
            <w:pPr>
              <w:spacing w:before="20" w:after="20"/>
            </w:pPr>
            <w:r/>
            <w:r>
              <w:rPr>
                <w:rFonts w:ascii="Verdana" w:hAnsi="Verdana"/>
                <w:b w:val="0"/>
                <w:sz w:val="16"/>
              </w:rPr>
              <w:t>Méthode de chiffrement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0 25 186</w:t>
            </w:r>
          </w:p>
        </w:tc>
        <w:tc>
          <w:tcPr>
            <w:tcW w:type="dxa" w:w="1514"/>
          </w:tcPr>
          <w:p>
            <w:pPr>
              <w:spacing w:before="20" w:after="20"/>
            </w:pPr>
            <w:r/>
            <w:r>
              <w:rPr>
                <w:rFonts w:ascii="Verdana" w:hAnsi="Verdana"/>
                <w:b w:val="0"/>
                <w:sz w:val="16"/>
              </w:rPr>
              <w:t>Version de la clef de chiffrement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0 25 187</w:t>
            </w:r>
          </w:p>
        </w:tc>
        <w:tc>
          <w:tcPr>
            <w:tcW w:type="dxa" w:w="1514"/>
          </w:tcPr>
          <w:p>
            <w:pPr>
              <w:spacing w:before="20" w:after="20"/>
            </w:pPr>
            <w:r/>
            <w:r>
              <w:rPr>
                <w:rFonts w:ascii="Verdana" w:hAnsi="Verdana"/>
                <w:b w:val="0"/>
                <w:sz w:val="16"/>
              </w:rPr>
              <w:t>Indicateur de confiance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0 25 188</w:t>
            </w:r>
          </w:p>
        </w:tc>
        <w:tc>
          <w:tcPr>
            <w:tcW w:type="dxa" w:w="1514"/>
          </w:tcPr>
          <w:p>
            <w:pPr>
              <w:spacing w:before="20" w:after="20"/>
            </w:pPr>
            <w:r/>
            <w:r>
              <w:rPr>
                <w:rFonts w:ascii="Verdana" w:hAnsi="Verdana"/>
                <w:b w:val="0"/>
                <w:sz w:val="16"/>
              </w:rPr>
              <w:t>Méthode employée pour ramener la pression au niveau de la mer</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0 25 189</w:t>
            </w:r>
          </w:p>
        </w:tc>
        <w:tc>
          <w:tcPr>
            <w:tcW w:type="dxa" w:w="1514"/>
          </w:tcPr>
          <w:p>
            <w:pPr>
              <w:spacing w:before="20" w:after="20"/>
            </w:pPr>
            <w:r/>
            <w:r>
              <w:rPr>
                <w:rFonts w:ascii="Verdana" w:hAnsi="Verdana"/>
                <w:b w:val="0"/>
                <w:sz w:val="16"/>
              </w:rPr>
              <w:t>Longueur d'onde de coupure dans la direction de visée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0 25 190</w:t>
            </w:r>
          </w:p>
        </w:tc>
        <w:tc>
          <w:tcPr>
            <w:tcW w:type="dxa" w:w="1514"/>
          </w:tcPr>
          <w:p>
            <w:pPr>
              <w:spacing w:before="20" w:after="20"/>
            </w:pPr>
            <w:r/>
            <w:r>
              <w:rPr>
                <w:rFonts w:ascii="Verdana" w:hAnsi="Verdana"/>
                <w:b w:val="0"/>
                <w:sz w:val="16"/>
              </w:rPr>
              <w:t>Mode de traitement de l'écho de l'altimètre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0 25 191</w:t>
            </w:r>
          </w:p>
        </w:tc>
        <w:tc>
          <w:tcPr>
            <w:tcW w:type="dxa" w:w="1514"/>
          </w:tcPr>
          <w:p>
            <w:pPr>
              <w:spacing w:before="20" w:after="20"/>
            </w:pPr>
            <w:r/>
            <w:r>
              <w:rPr>
                <w:rFonts w:ascii="Verdana" w:hAnsi="Verdana"/>
                <w:b w:val="0"/>
                <w:sz w:val="16"/>
              </w:rPr>
              <w:t>Mode de localisation de l'altimètre</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