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26 : Position d'éléments autres que des coordonnées (dans le temps)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0 26 001</w:t>
            </w:r>
          </w:p>
        </w:tc>
        <w:tc>
          <w:tcPr>
            <w:tcW w:type="dxa" w:w="1514"/>
          </w:tcPr>
          <w:p>
            <w:pPr>
              <w:spacing w:before="20" w:after="20"/>
            </w:pPr>
            <w:r/>
            <w:r>
              <w:rPr>
                <w:rFonts w:ascii="Verdana" w:hAnsi="Verdana"/>
                <w:b w:val="0"/>
                <w:sz w:val="16"/>
              </w:rPr>
              <w:t>Heure principale de lecture quotidienne en UTC de la température maximale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0 26 002</w:t>
            </w:r>
          </w:p>
        </w:tc>
        <w:tc>
          <w:tcPr>
            <w:tcW w:type="dxa" w:w="1514"/>
          </w:tcPr>
          <w:p>
            <w:pPr>
              <w:spacing w:before="20" w:after="20"/>
            </w:pPr>
            <w:r/>
            <w:r>
              <w:rPr>
                <w:rFonts w:ascii="Verdana" w:hAnsi="Verdana"/>
                <w:b w:val="0"/>
                <w:sz w:val="16"/>
              </w:rPr>
              <w:t>Heure principale de lecture quotidienne en UTC de la température minimale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0 26 003</w:t>
            </w:r>
          </w:p>
        </w:tc>
        <w:tc>
          <w:tcPr>
            <w:tcW w:type="dxa" w:w="1514"/>
          </w:tcPr>
          <w:p>
            <w:pPr>
              <w:spacing w:before="20" w:after="20"/>
            </w:pPr>
            <w:r/>
            <w:r>
              <w:rPr>
                <w:rFonts w:ascii="Verdana" w:hAnsi="Verdana"/>
                <w:b w:val="0"/>
                <w:sz w:val="16"/>
              </w:rPr>
              <w:t>Décalage dans le temps</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-1440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58: Il s’agit de déterminer si les niveaux de la tropopause indiqués ci-après sont des valeurs minimales, maximales ou ponctuelles (code de la valeur manquante).</w:t>
            </w:r>
          </w:p>
        </w:tc>
      </w:tr>
      <w:tr>
        <w:trPr>
          <w:cantSplit/>
        </w:trPr>
        <w:tc>
          <w:tcPr>
            <w:tcW w:type="dxa" w:w="1514"/>
          </w:tcPr>
          <w:p>
            <w:pPr>
              <w:spacing w:before="20" w:after="20"/>
            </w:pPr>
            <w:r/>
            <w:r>
              <w:rPr>
                <w:rFonts w:ascii="Verdana" w:hAnsi="Verdana"/>
                <w:b w:val="0"/>
                <w:sz w:val="16"/>
              </w:rPr>
              <w:t>0 26 010</w:t>
            </w:r>
          </w:p>
        </w:tc>
        <w:tc>
          <w:tcPr>
            <w:tcW w:type="dxa" w:w="1514"/>
          </w:tcPr>
          <w:p>
            <w:pPr>
              <w:spacing w:before="20" w:after="20"/>
            </w:pPr>
            <w:r/>
            <w:r>
              <w:rPr>
                <w:rFonts w:ascii="Verdana" w:hAnsi="Verdana"/>
                <w:b w:val="0"/>
                <w:sz w:val="16"/>
              </w:rPr>
              <w:t>Heures de mesure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0 26 020</w:t>
            </w:r>
          </w:p>
        </w:tc>
        <w:tc>
          <w:tcPr>
            <w:tcW w:type="dxa" w:w="1514"/>
          </w:tcPr>
          <w:p>
            <w:pPr>
              <w:spacing w:before="20" w:after="20"/>
            </w:pPr>
            <w:r/>
            <w:r>
              <w:rPr>
                <w:rFonts w:ascii="Verdana" w:hAnsi="Verdana"/>
                <w:b w:val="0"/>
                <w:sz w:val="16"/>
              </w:rPr>
              <w:t>Durée des précipitations</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0 26 021</w:t>
            </w:r>
          </w:p>
        </w:tc>
        <w:tc>
          <w:tcPr>
            <w:tcW w:type="dxa" w:w="1514"/>
          </w:tcPr>
          <w:p>
            <w:pPr>
              <w:spacing w:before="20" w:after="20"/>
            </w:pPr>
            <w:r/>
            <w:r>
              <w:rPr>
                <w:rFonts w:ascii="Verdana" w:hAnsi="Verdana"/>
                <w:b w:val="0"/>
                <w:sz w:val="16"/>
              </w:rPr>
              <w:t>Année</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0 26 022</w:t>
            </w:r>
          </w:p>
        </w:tc>
        <w:tc>
          <w:tcPr>
            <w:tcW w:type="dxa" w:w="1514"/>
          </w:tcPr>
          <w:p>
            <w:pPr>
              <w:spacing w:before="20" w:after="20"/>
            </w:pPr>
            <w:r/>
            <w:r>
              <w:rPr>
                <w:rFonts w:ascii="Verdana" w:hAnsi="Verdana"/>
                <w:b w:val="0"/>
                <w:sz w:val="16"/>
              </w:rPr>
              <w:t>Mois</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0 26 023</w:t>
            </w:r>
          </w:p>
        </w:tc>
        <w:tc>
          <w:tcPr>
            <w:tcW w:type="dxa" w:w="1514"/>
          </w:tcPr>
          <w:p>
            <w:pPr>
              <w:spacing w:before="20" w:after="20"/>
            </w:pPr>
            <w:r/>
            <w:r>
              <w:rPr>
                <w:rFonts w:ascii="Verdana" w:hAnsi="Verdana"/>
                <w:b w:val="0"/>
                <w:sz w:val="16"/>
              </w:rPr>
              <w:t>Jour</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0 26 030</w:t>
            </w:r>
          </w:p>
        </w:tc>
        <w:tc>
          <w:tcPr>
            <w:tcW w:type="dxa" w:w="1514"/>
          </w:tcPr>
          <w:p>
            <w:pPr>
              <w:spacing w:before="20" w:after="20"/>
            </w:pPr>
            <w:r/>
            <w:r>
              <w:rPr>
                <w:rFonts w:ascii="Verdana" w:hAnsi="Verdana"/>
                <w:b w:val="0"/>
                <w:sz w:val="16"/>
              </w:rPr>
              <w:t>Temps d'intégration de la mesure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