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31 : Précisions concernant les opérations à effectuer au niveau de la description des données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0 31 000</w:t>
            </w:r>
          </w:p>
        </w:tc>
        <w:tc>
          <w:tcPr>
            <w:tcW w:type="dxa" w:w="1514"/>
          </w:tcPr>
          <w:p>
            <w:pPr>
              <w:spacing w:before="20" w:after="20"/>
            </w:pPr>
            <w:r/>
            <w:r>
              <w:rPr>
                <w:rFonts w:ascii="Verdana" w:hAnsi="Verdana"/>
                <w:b w:val="0"/>
                <w:sz w:val="16"/>
              </w:rPr>
              <w:t>Facteur de répétition légèrement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0 31 001</w:t>
            </w:r>
          </w:p>
        </w:tc>
        <w:tc>
          <w:tcPr>
            <w:tcW w:type="dxa" w:w="1514"/>
          </w:tcPr>
          <w:p>
            <w:pPr>
              <w:spacing w:before="20" w:after="20"/>
            </w:pPr>
            <w:r/>
            <w:r>
              <w:rPr>
                <w:rFonts w:ascii="Verdana" w:hAnsi="Verdana"/>
                <w:b w:val="0"/>
                <w:sz w:val="16"/>
              </w:rPr>
              <w:t>Facteur de répétition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0 31 002</w:t>
            </w:r>
          </w:p>
        </w:tc>
        <w:tc>
          <w:tcPr>
            <w:tcW w:type="dxa" w:w="1514"/>
          </w:tcPr>
          <w:p>
            <w:pPr>
              <w:spacing w:before="20" w:after="20"/>
            </w:pPr>
            <w:r/>
            <w:r>
              <w:rPr>
                <w:rFonts w:ascii="Verdana" w:hAnsi="Verdana"/>
                <w:b w:val="0"/>
                <w:sz w:val="16"/>
              </w:rPr>
              <w:t>Facteur élargi de répétition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0 31 011</w:t>
            </w:r>
          </w:p>
        </w:tc>
        <w:tc>
          <w:tcPr>
            <w:tcW w:type="dxa" w:w="1514"/>
          </w:tcPr>
          <w:p>
            <w:pPr>
              <w:spacing w:before="20" w:after="20"/>
            </w:pPr>
            <w:r/>
            <w:r>
              <w:rPr>
                <w:rFonts w:ascii="Verdana" w:hAnsi="Verdana"/>
                <w:b w:val="0"/>
                <w:sz w:val="16"/>
              </w:rPr>
              <w:t>Facteur de répétition différée du descripteur et des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127: Le «facteur de répétition différée du descripteur et des données» sert au codage de la longueur de plage (par exemple pour le balayage d’une image). Il donne une valeur N qui s’applique à la fois au descripteur et aux données, c’est-à-dire que la valeur de l’élément simple défini par le descripteur suivant est répétée N fois (à des intervalles déjà précisés).</w:t>
            </w:r>
          </w:p>
        </w:tc>
      </w:tr>
      <w:tr>
        <w:trPr>
          <w:cantSplit/>
        </w:trPr>
        <w:tc>
          <w:tcPr>
            <w:tcW w:type="dxa" w:w="1514"/>
          </w:tcPr>
          <w:p>
            <w:pPr>
              <w:spacing w:before="20" w:after="20"/>
            </w:pPr>
            <w:r/>
            <w:r>
              <w:rPr>
                <w:rFonts w:ascii="Verdana" w:hAnsi="Verdana"/>
                <w:b w:val="0"/>
                <w:sz w:val="16"/>
              </w:rPr>
              <w:t>0 31 012</w:t>
            </w:r>
          </w:p>
        </w:tc>
        <w:tc>
          <w:tcPr>
            <w:tcW w:type="dxa" w:w="1514"/>
          </w:tcPr>
          <w:p>
            <w:pPr>
              <w:spacing w:before="20" w:after="20"/>
            </w:pPr>
            <w:r/>
            <w:r>
              <w:rPr>
                <w:rFonts w:ascii="Verdana" w:hAnsi="Verdana"/>
                <w:b w:val="0"/>
                <w:sz w:val="16"/>
              </w:rPr>
              <w:t>Facteur élargi de répétition différée du descripteur et des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0 31 021</w:t>
            </w:r>
          </w:p>
        </w:tc>
        <w:tc>
          <w:tcPr>
            <w:tcW w:type="dxa" w:w="1514"/>
          </w:tcPr>
          <w:p>
            <w:pPr>
              <w:spacing w:before="20" w:after="20"/>
            </w:pPr>
            <w:r/>
            <w:r>
              <w:rPr>
                <w:rFonts w:ascii="Verdana" w:hAnsi="Verdana"/>
                <w:b w:val="0"/>
                <w:sz w:val="16"/>
              </w:rPr>
              <w:t>Signification du champ associé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0 31 031</w:t>
            </w:r>
          </w:p>
        </w:tc>
        <w:tc>
          <w:tcPr>
            <w:tcW w:type="dxa" w:w="1514"/>
          </w:tcPr>
          <w:p>
            <w:pPr>
              <w:spacing w:before="20" w:after="20"/>
            </w:pPr>
            <w:r/>
            <w:r>
              <w:rPr>
                <w:rFonts w:ascii="Verdana" w:hAnsi="Verdana"/>
                <w:b w:val="0"/>
                <w:sz w:val="16"/>
              </w:rPr>
              <w:t>Indicateur de présence de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59: Indication du début de la période d’un mois. | Note 113: D’autres applications de l’indicateur de présence de données pourront être créées.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