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40 : Données satellitaires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0 40 001</w:t>
            </w:r>
          </w:p>
        </w:tc>
        <w:tc>
          <w:tcPr>
            <w:tcW w:type="dxa" w:w="1514"/>
          </w:tcPr>
          <w:p>
            <w:pPr>
              <w:spacing w:before="20" w:after="20"/>
            </w:pPr>
            <w:r/>
            <w:r>
              <w:rPr>
                <w:rFonts w:ascii="Verdana" w:hAnsi="Verdana"/>
                <w:b w:val="0"/>
                <w:sz w:val="16"/>
              </w:rPr>
              <w:t>Humidité du sol en surface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0 40 002</w:t>
            </w:r>
          </w:p>
        </w:tc>
        <w:tc>
          <w:tcPr>
            <w:tcW w:type="dxa" w:w="1514"/>
          </w:tcPr>
          <w:p>
            <w:pPr>
              <w:spacing w:before="20" w:after="20"/>
            </w:pPr>
            <w:r/>
            <w:r>
              <w:rPr>
                <w:rFonts w:ascii="Verdana" w:hAnsi="Verdana"/>
                <w:b w:val="0"/>
                <w:sz w:val="16"/>
              </w:rPr>
              <w:t>Erreur estimative de l'humidité du sol en surface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0 40 003</w:t>
            </w:r>
          </w:p>
        </w:tc>
        <w:tc>
          <w:tcPr>
            <w:tcW w:type="dxa" w:w="1514"/>
          </w:tcPr>
          <w:p>
            <w:pPr>
              <w:spacing w:before="20" w:after="20"/>
            </w:pPr>
            <w:r/>
            <w:r>
              <w:rPr>
                <w:rFonts w:ascii="Verdana" w:hAnsi="Verdana"/>
                <w:b w:val="0"/>
                <w:sz w:val="16"/>
              </w:rPr>
              <w:t>Humidité moyenne du sol en surface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0 40 004</w:t>
            </w:r>
          </w:p>
        </w:tc>
        <w:tc>
          <w:tcPr>
            <w:tcW w:type="dxa" w:w="1514"/>
          </w:tcPr>
          <w:p>
            <w:pPr>
              <w:spacing w:before="20" w:after="20"/>
            </w:pPr>
            <w:r/>
            <w:r>
              <w:rPr>
                <w:rFonts w:ascii="Verdana" w:hAnsi="Verdana"/>
                <w:b w:val="0"/>
                <w:sz w:val="16"/>
              </w:rPr>
              <w:t>Détection de pluie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0 40 005</w:t>
            </w:r>
          </w:p>
        </w:tc>
        <w:tc>
          <w:tcPr>
            <w:tcW w:type="dxa" w:w="1514"/>
          </w:tcPr>
          <w:p>
            <w:pPr>
              <w:spacing w:before="20" w:after="20"/>
            </w:pPr>
            <w:r/>
            <w:r>
              <w:rPr>
                <w:rFonts w:ascii="Verdana" w:hAnsi="Verdana"/>
                <w:b w:val="0"/>
                <w:sz w:val="16"/>
              </w:rPr>
              <w:t>Indicateur de correction de l'humidité du sol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0 40 006</w:t>
            </w:r>
          </w:p>
        </w:tc>
        <w:tc>
          <w:tcPr>
            <w:tcW w:type="dxa" w:w="1514"/>
          </w:tcPr>
          <w:p>
            <w:pPr>
              <w:spacing w:before="20" w:after="20"/>
            </w:pPr>
            <w:r/>
            <w:r>
              <w:rPr>
                <w:rFonts w:ascii="Verdana" w:hAnsi="Verdana"/>
                <w:b w:val="0"/>
                <w:sz w:val="16"/>
              </w:rPr>
              <w:t>Indicateur de traitement de l'humidité du sol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0 40 007</w:t>
            </w:r>
          </w:p>
        </w:tc>
        <w:tc>
          <w:tcPr>
            <w:tcW w:type="dxa" w:w="1514"/>
          </w:tcPr>
          <w:p>
            <w:pPr>
              <w:spacing w:before="20" w:after="20"/>
            </w:pPr>
            <w:r/>
            <w:r>
              <w:rPr>
                <w:rFonts w:ascii="Verdana" w:hAnsi="Verdana"/>
                <w:b w:val="0"/>
                <w:sz w:val="16"/>
              </w:rPr>
              <w:t>Qualité de l'humidité du sol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0 40 008</w:t>
            </w:r>
          </w:p>
        </w:tc>
        <w:tc>
          <w:tcPr>
            <w:tcW w:type="dxa" w:w="1514"/>
          </w:tcPr>
          <w:p>
            <w:pPr>
              <w:spacing w:before="20" w:after="20"/>
            </w:pPr>
            <w:r/>
            <w:r>
              <w:rPr>
                <w:rFonts w:ascii="Verdana" w:hAnsi="Verdana"/>
                <w:b w:val="0"/>
                <w:sz w:val="16"/>
              </w:rPr>
              <w:t>Fraction gelée de la surface terrestre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0 40 009</w:t>
            </w:r>
          </w:p>
        </w:tc>
        <w:tc>
          <w:tcPr>
            <w:tcW w:type="dxa" w:w="1514"/>
          </w:tcPr>
          <w:p>
            <w:pPr>
              <w:spacing w:before="20" w:after="20"/>
            </w:pPr>
            <w:r/>
            <w:r>
              <w:rPr>
                <w:rFonts w:ascii="Verdana" w:hAnsi="Verdana"/>
                <w:b w:val="0"/>
                <w:sz w:val="16"/>
              </w:rPr>
              <w:t>Fraction des zones humides et inondées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0 40 010</w:t>
            </w:r>
          </w:p>
        </w:tc>
        <w:tc>
          <w:tcPr>
            <w:tcW w:type="dxa" w:w="1514"/>
          </w:tcPr>
          <w:p>
            <w:pPr>
              <w:spacing w:before="20" w:after="20"/>
            </w:pPr>
            <w:r/>
            <w:r>
              <w:rPr>
                <w:rFonts w:ascii="Verdana" w:hAnsi="Verdana"/>
                <w:b w:val="0"/>
                <w:sz w:val="16"/>
              </w:rPr>
              <w:t>Complexité topographique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0 40 011</w:t>
            </w:r>
          </w:p>
        </w:tc>
        <w:tc>
          <w:tcPr>
            <w:tcW w:type="dxa" w:w="1514"/>
          </w:tcPr>
          <w:p>
            <w:pPr>
              <w:spacing w:before="20" w:after="20"/>
            </w:pPr>
            <w:r/>
            <w:r>
              <w:rPr>
                <w:rFonts w:ascii="Verdana" w:hAnsi="Verdana"/>
                <w:b w:val="0"/>
                <w:sz w:val="16"/>
              </w:rPr>
              <w:t>Indicateur d'interpolation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0 40 012</w:t>
            </w:r>
          </w:p>
        </w:tc>
        <w:tc>
          <w:tcPr>
            <w:tcW w:type="dxa" w:w="1514"/>
          </w:tcPr>
          <w:p>
            <w:pPr>
              <w:spacing w:before="20" w:after="20"/>
            </w:pPr>
            <w:r/>
            <w:r>
              <w:rPr>
                <w:rFonts w:ascii="Verdana" w:hAnsi="Verdana"/>
                <w:b w:val="0"/>
                <w:sz w:val="16"/>
              </w:rPr>
              <w:t>Indicateur de qualité des données du radiomètre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0 40 013</w:t>
            </w:r>
          </w:p>
        </w:tc>
        <w:tc>
          <w:tcPr>
            <w:tcW w:type="dxa" w:w="1514"/>
          </w:tcPr>
          <w:p>
            <w:pPr>
              <w:spacing w:before="20" w:after="20"/>
            </w:pPr>
            <w:r/>
            <w:r>
              <w:rPr>
                <w:rFonts w:ascii="Verdana" w:hAnsi="Verdana"/>
                <w:b w:val="0"/>
                <w:sz w:val="16"/>
              </w:rPr>
              <w:t>Indicateur d'interprétation de la température de luminance du radiomètre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0 40 014</w:t>
            </w:r>
          </w:p>
        </w:tc>
        <w:tc>
          <w:tcPr>
            <w:tcW w:type="dxa" w:w="1514"/>
          </w:tcPr>
          <w:p>
            <w:pPr>
              <w:spacing w:before="20" w:after="20"/>
            </w:pPr>
            <w:r/>
            <w:r>
              <w:rPr>
                <w:rFonts w:ascii="Verdana" w:hAnsi="Verdana"/>
                <w:b w:val="0"/>
                <w:sz w:val="16"/>
              </w:rPr>
              <w:t>Fluctuations haute fréquence de la correction topographique de la surface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0 40 015</w:t>
            </w:r>
          </w:p>
        </w:tc>
        <w:tc>
          <w:tcPr>
            <w:tcW w:type="dxa" w:w="1514"/>
          </w:tcPr>
          <w:p>
            <w:pPr>
              <w:spacing w:before="20" w:after="20"/>
            </w:pPr>
            <w:r/>
            <w:r>
              <w:rPr>
                <w:rFonts w:ascii="Verdana" w:hAnsi="Verdana"/>
                <w:b w:val="0"/>
                <w:sz w:val="16"/>
              </w:rPr>
              <w:t>Indice différentiel normalisé de végétation (NDVI)</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0 40 016</w:t>
            </w:r>
          </w:p>
        </w:tc>
        <w:tc>
          <w:tcPr>
            <w:tcW w:type="dxa" w:w="1514"/>
          </w:tcPr>
          <w:p>
            <w:pPr>
              <w:spacing w:before="20" w:after="20"/>
            </w:pPr>
            <w:r/>
            <w:r>
              <w:rPr>
                <w:rFonts w:ascii="Verdana" w:hAnsi="Verdana"/>
                <w:b w:val="0"/>
                <w:sz w:val="16"/>
              </w:rPr>
              <w:t>Moyenne quadratique résiduelle en bande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0 40 017</w:t>
            </w:r>
          </w:p>
        </w:tc>
        <w:tc>
          <w:tcPr>
            <w:tcW w:type="dxa" w:w="1514"/>
          </w:tcPr>
          <w:p>
            <w:pPr>
              <w:spacing w:before="20" w:after="20"/>
            </w:pPr>
            <w:r/>
            <w:r>
              <w:rPr>
                <w:rFonts w:ascii="Verdana" w:hAnsi="Verdana"/>
                <w:b w:val="0"/>
                <w:sz w:val="16"/>
              </w:rPr>
              <w:t>Score des composantes principales non normalisé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0 40 018</w:t>
            </w:r>
          </w:p>
        </w:tc>
        <w:tc>
          <w:tcPr>
            <w:tcW w:type="dxa" w:w="1514"/>
          </w:tcPr>
          <w:p>
            <w:pPr>
              <w:spacing w:before="20" w:after="20"/>
            </w:pPr>
            <w:r/>
            <w:r>
              <w:rPr>
                <w:rFonts w:ascii="Verdana" w:hAnsi="Verdana"/>
                <w:b w:val="0"/>
                <w:sz w:val="16"/>
              </w:rPr>
              <w:t>GIacAvgImagIIS - moyenne des mesures de l'imageur</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0 40 019</w:t>
            </w:r>
          </w:p>
        </w:tc>
        <w:tc>
          <w:tcPr>
            <w:tcW w:type="dxa" w:w="1514"/>
          </w:tcPr>
          <w:p>
            <w:pPr>
              <w:spacing w:before="20" w:after="20"/>
            </w:pPr>
            <w:r/>
            <w:r>
              <w:rPr>
                <w:rFonts w:ascii="Verdana" w:hAnsi="Verdana"/>
                <w:b w:val="0"/>
                <w:sz w:val="16"/>
              </w:rPr>
              <w:t>GIacVarImagIIS - variance des mesures de l'imageur</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0 40 020</w:t>
            </w:r>
          </w:p>
        </w:tc>
        <w:tc>
          <w:tcPr>
            <w:tcW w:type="dxa" w:w="1514"/>
          </w:tcPr>
          <w:p>
            <w:pPr>
              <w:spacing w:before="20" w:after="20"/>
            </w:pPr>
            <w:r/>
            <w:r>
              <w:rPr>
                <w:rFonts w:ascii="Verdana" w:hAnsi="Verdana"/>
                <w:b w:val="0"/>
                <w:sz w:val="16"/>
              </w:rPr>
              <w:t>GqisFlagQualDetailed - indicateur de qualité du système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0 40 021</w:t>
            </w:r>
          </w:p>
        </w:tc>
        <w:tc>
          <w:tcPr>
            <w:tcW w:type="dxa" w:w="1514"/>
          </w:tcPr>
          <w:p>
            <w:pPr>
              <w:spacing w:before="20" w:after="20"/>
            </w:pPr>
            <w:r/>
            <w:r>
              <w:rPr>
                <w:rFonts w:ascii="Verdana" w:hAnsi="Verdana"/>
                <w:b w:val="0"/>
                <w:sz w:val="16"/>
              </w:rPr>
              <w:t>Fraction de pixels AVHRR pondérés dans le champ de vision de l'IASI recouvert d'une couche de neige/glace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0 40 022</w:t>
            </w:r>
          </w:p>
        </w:tc>
        <w:tc>
          <w:tcPr>
            <w:tcW w:type="dxa" w:w="1514"/>
          </w:tcPr>
          <w:p>
            <w:pPr>
              <w:spacing w:before="20" w:after="20"/>
            </w:pPr>
            <w:r/>
            <w:r>
              <w:rPr>
                <w:rFonts w:ascii="Verdana" w:hAnsi="Verdana"/>
                <w:b w:val="0"/>
                <w:sz w:val="16"/>
              </w:rPr>
              <w:t>Nombre de pixels AVHRR manquants, erronés ou défaillants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0 40 023</w:t>
            </w:r>
          </w:p>
        </w:tc>
        <w:tc>
          <w:tcPr>
            <w:tcW w:type="dxa" w:w="1514"/>
          </w:tcPr>
          <w:p>
            <w:pPr>
              <w:spacing w:before="20" w:after="20"/>
            </w:pPr>
            <w:r/>
            <w:r>
              <w:rPr>
                <w:rFonts w:ascii="Verdana" w:hAnsi="Verdana"/>
                <w:b w:val="0"/>
                <w:sz w:val="16"/>
              </w:rPr>
              <w:t>Indicateur de l'état de l'altimètre auxiliaire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0 40 024</w:t>
            </w:r>
          </w:p>
        </w:tc>
        <w:tc>
          <w:tcPr>
            <w:tcW w:type="dxa" w:w="1514"/>
          </w:tcPr>
          <w:p>
            <w:pPr>
              <w:spacing w:before="20" w:after="20"/>
            </w:pPr>
            <w:r/>
            <w:r>
              <w:rPr>
                <w:rFonts w:ascii="Verdana" w:hAnsi="Verdana"/>
                <w:b w:val="0"/>
                <w:sz w:val="16"/>
              </w:rPr>
              <w:t>Existence de cartes météorologiques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0 40 025</w:t>
            </w:r>
          </w:p>
        </w:tc>
        <w:tc>
          <w:tcPr>
            <w:tcW w:type="dxa" w:w="1514"/>
          </w:tcPr>
          <w:p>
            <w:pPr>
              <w:spacing w:before="20" w:after="20"/>
            </w:pPr>
            <w:r/>
            <w:r>
              <w:rPr>
                <w:rFonts w:ascii="Verdana" w:hAnsi="Verdana"/>
                <w:b w:val="0"/>
                <w:sz w:val="16"/>
              </w:rPr>
              <w:t>Indicateur d'interpolation pour la marée diurne moyenne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0 40 026</w:t>
            </w:r>
          </w:p>
        </w:tc>
        <w:tc>
          <w:tcPr>
            <w:tcW w:type="dxa" w:w="1514"/>
          </w:tcPr>
          <w:p>
            <w:pPr>
              <w:spacing w:before="20" w:after="20"/>
            </w:pPr>
            <w:r/>
            <w:r>
              <w:rPr>
                <w:rFonts w:ascii="Verdana" w:hAnsi="Verdana"/>
                <w:b w:val="0"/>
                <w:sz w:val="16"/>
              </w:rPr>
              <w:t>Facteur de quantification de l'indice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0 40 027</w:t>
            </w:r>
          </w:p>
        </w:tc>
        <w:tc>
          <w:tcPr>
            <w:tcW w:type="dxa" w:w="1514"/>
          </w:tcPr>
          <w:p>
            <w:pPr>
              <w:spacing w:before="20" w:after="20"/>
            </w:pPr>
            <w:r/>
            <w:r>
              <w:rPr>
                <w:rFonts w:ascii="Verdana" w:hAnsi="Verdana"/>
                <w:b w:val="0"/>
                <w:sz w:val="16"/>
              </w:rPr>
              <w:t>Angle du reflet solaire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0 40 028</w:t>
            </w:r>
          </w:p>
        </w:tc>
        <w:tc>
          <w:tcPr>
            <w:tcW w:type="dxa" w:w="1514"/>
          </w:tcPr>
          <w:p>
            <w:pPr>
              <w:spacing w:before="20" w:after="20"/>
            </w:pPr>
            <w:r/>
            <w:r>
              <w:rPr>
                <w:rFonts w:ascii="Verdana" w:hAnsi="Verdana"/>
                <w:b w:val="0"/>
                <w:sz w:val="16"/>
              </w:rPr>
              <w:t>Indicateur de qualité des données du GMI</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0 40 029</w:t>
            </w:r>
          </w:p>
        </w:tc>
        <w:tc>
          <w:tcPr>
            <w:tcW w:type="dxa" w:w="1514"/>
          </w:tcPr>
          <w:p>
            <w:pPr>
              <w:spacing w:before="20" w:after="20"/>
            </w:pPr>
            <w:r/>
            <w:r>
              <w:rPr>
                <w:rFonts w:ascii="Verdana" w:hAnsi="Verdana"/>
                <w:b w:val="0"/>
                <w:sz w:val="16"/>
              </w:rPr>
              <w:t>Longueur d'intégration horizontale des observations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0 40 030</w:t>
            </w:r>
          </w:p>
        </w:tc>
        <w:tc>
          <w:tcPr>
            <w:tcW w:type="dxa" w:w="1514"/>
          </w:tcPr>
          <w:p>
            <w:pPr>
              <w:spacing w:before="20" w:after="20"/>
            </w:pPr>
            <w:r/>
            <w:r>
              <w:rPr>
                <w:rFonts w:ascii="Verdana" w:hAnsi="Verdana"/>
                <w:b w:val="0"/>
                <w:sz w:val="16"/>
              </w:rPr>
              <w:t>Vent horizontal dans l'axe de visée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-32767</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0 40 031</w:t>
            </w:r>
          </w:p>
        </w:tc>
        <w:tc>
          <w:tcPr>
            <w:tcW w:type="dxa" w:w="1514"/>
          </w:tcPr>
          <w:p>
            <w:pPr>
              <w:spacing w:before="20" w:after="20"/>
            </w:pPr>
            <w:r/>
            <w:r>
              <w:rPr>
                <w:rFonts w:ascii="Verdana" w:hAnsi="Verdana"/>
                <w:b w:val="0"/>
                <w:sz w:val="16"/>
              </w:rPr>
              <w:t>Estimation des erreurs relatives au vent horizontal dans l'axe de visée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0 40 032</w:t>
            </w:r>
          </w:p>
        </w:tc>
        <w:tc>
          <w:tcPr>
            <w:tcW w:type="dxa" w:w="1514"/>
          </w:tcPr>
          <w:p>
            <w:pPr>
              <w:spacing w:before="20" w:after="20"/>
            </w:pPr>
            <w:r/>
            <w:r>
              <w:rPr>
                <w:rFonts w:ascii="Verdana" w:hAnsi="Verdana"/>
                <w:b w:val="0"/>
                <w:sz w:val="16"/>
              </w:rPr>
              <w:t>Dérivée du vent par rapport à la pression</w:t>
            </w:r>
          </w:p>
        </w:tc>
        <w:tc>
          <w:tcPr>
            <w:tcW w:type="dxa" w:w="1514"/>
          </w:tcPr>
          <w:p>
            <w:pPr>
              <w:spacing w:before="20" w:after="20"/>
            </w:pPr>
            <w:r/>
            <w:r>
              <w:rPr>
                <w:rFonts w:ascii="Verdana" w:hAnsi="Verdana"/>
                <w:sz w:val="16"/>
              </w:rPr>
              <w:t>m s</w:t>
            </w:r>
            <w:r>
              <w:rPr>
                <w:rFonts w:ascii="Verdana" w:hAnsi="Verdana"/>
                <w:sz w:val="16"/>
                <w:vertAlign w:val="superscript"/>
              </w:rPr>
              <w:t>-1</w:t>
            </w:r>
            <w:r>
              <w:rPr>
                <w:rFonts w:ascii="Verdana" w:hAnsi="Verdana"/>
                <w:sz w:val="16"/>
              </w:rPr>
              <w:t xml:space="preserve"> Pa-1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 s</w:t>
            </w:r>
            <w:r>
              <w:rPr>
                <w:rFonts w:ascii="Verdana" w:hAnsi="Verdana"/>
                <w:sz w:val="16"/>
                <w:vertAlign w:val="superscript"/>
              </w:rPr>
              <w:t>-1</w:t>
            </w:r>
            <w:r>
              <w:rPr>
                <w:rFonts w:ascii="Verdana" w:hAnsi="Verdana"/>
                <w:sz w:val="16"/>
              </w:rPr>
              <w:t xml:space="preserve"> Pa-1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0 40 033</w:t>
            </w:r>
          </w:p>
        </w:tc>
        <w:tc>
          <w:tcPr>
            <w:tcW w:type="dxa" w:w="1514"/>
          </w:tcPr>
          <w:p>
            <w:pPr>
              <w:spacing w:before="20" w:after="20"/>
            </w:pPr>
            <w:r/>
            <w:r>
              <w:rPr>
                <w:rFonts w:ascii="Verdana" w:hAnsi="Verdana"/>
                <w:b w:val="0"/>
                <w:sz w:val="16"/>
              </w:rPr>
              <w:t>Dérivée du vent par rapport à la température</w:t>
            </w:r>
          </w:p>
        </w:tc>
        <w:tc>
          <w:tcPr>
            <w:tcW w:type="dxa" w:w="1514"/>
          </w:tcPr>
          <w:p>
            <w:pPr>
              <w:spacing w:before="20" w:after="20"/>
            </w:pPr>
            <w:r/>
            <w:r>
              <w:rPr>
                <w:rFonts w:ascii="Verdana" w:hAnsi="Verdana"/>
                <w:sz w:val="16"/>
              </w:rPr>
              <w:t>m s</w:t>
            </w:r>
            <w:r>
              <w:rPr>
                <w:rFonts w:ascii="Verdana" w:hAnsi="Verdana"/>
                <w:sz w:val="16"/>
                <w:vertAlign w:val="superscript"/>
              </w:rPr>
              <w:t>-1</w:t>
            </w:r>
            <w:r>
              <w:rPr>
                <w:rFonts w:ascii="Verdana" w:hAnsi="Verdana"/>
                <w:sz w:val="16"/>
              </w:rPr>
              <w:t xml:space="preserve"> K-1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 s</w:t>
            </w:r>
            <w:r>
              <w:rPr>
                <w:rFonts w:ascii="Verdana" w:hAnsi="Verdana"/>
                <w:sz w:val="16"/>
                <w:vertAlign w:val="superscript"/>
              </w:rPr>
              <w:t>-1</w:t>
            </w:r>
            <w:r>
              <w:rPr>
                <w:rFonts w:ascii="Verdana" w:hAnsi="Verdana"/>
                <w:sz w:val="16"/>
              </w:rPr>
              <w:t xml:space="preserve"> K-1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0 40 034</w:t>
            </w:r>
          </w:p>
        </w:tc>
        <w:tc>
          <w:tcPr>
            <w:tcW w:type="dxa" w:w="1514"/>
          </w:tcPr>
          <w:p>
            <w:pPr>
              <w:spacing w:before="20" w:after="20"/>
            </w:pPr>
            <w:r/>
            <w:r>
              <w:rPr>
                <w:rFonts w:ascii="Verdana" w:hAnsi="Verdana"/>
                <w:b w:val="0"/>
                <w:sz w:val="16"/>
              </w:rPr>
              <w:t>Dérivée du vent par rapport au coefficient de rétrodiffusion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-200000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0 40 035</w:t>
            </w:r>
          </w:p>
        </w:tc>
        <w:tc>
          <w:tcPr>
            <w:tcW w:type="dxa" w:w="1514"/>
          </w:tcPr>
          <w:p>
            <w:pPr>
              <w:spacing w:before="20" w:after="20"/>
            </w:pPr>
            <w:r/>
            <w:r>
              <w:rPr>
                <w:rFonts w:ascii="Verdana" w:hAnsi="Verdana"/>
                <w:b w:val="0"/>
                <w:sz w:val="16"/>
              </w:rPr>
              <w:t>Distance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380000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0 40 036</w:t>
            </w:r>
          </w:p>
        </w:tc>
        <w:tc>
          <w:tcPr>
            <w:tcW w:type="dxa" w:w="1514"/>
          </w:tcPr>
          <w:p>
            <w:pPr>
              <w:spacing w:before="20" w:after="20"/>
            </w:pPr>
            <w:r/>
            <w:r>
              <w:rPr>
                <w:rFonts w:ascii="Verdana" w:hAnsi="Verdana"/>
                <w:b w:val="0"/>
                <w:sz w:val="16"/>
              </w:rPr>
              <w:t>Type de classification des produits lidar de niveau L2b</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0 40 037</w:t>
            </w:r>
          </w:p>
        </w:tc>
        <w:tc>
          <w:tcPr>
            <w:tcW w:type="dxa" w:w="1514"/>
          </w:tcPr>
          <w:p>
            <w:pPr>
              <w:spacing w:before="20" w:after="20"/>
            </w:pPr>
            <w:r/>
            <w:r>
              <w:rPr>
                <w:rFonts w:ascii="Verdana" w:hAnsi="Verdana"/>
                <w:b w:val="0"/>
                <w:sz w:val="16"/>
              </w:rPr>
              <w:t>Coefficient de rétrodiffusion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0 40 038</w:t>
            </w:r>
          </w:p>
        </w:tc>
        <w:tc>
          <w:tcPr>
            <w:tcW w:type="dxa" w:w="1514"/>
          </w:tcPr>
          <w:p>
            <w:pPr>
              <w:spacing w:before="20" w:after="20"/>
            </w:pPr>
            <w:r/>
            <w:r>
              <w:rPr>
                <w:rFonts w:ascii="Verdana" w:hAnsi="Verdana"/>
                <w:b w:val="0"/>
                <w:sz w:val="16"/>
              </w:rPr>
              <w:t>Taille des particules de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0 40 039</w:t>
            </w:r>
          </w:p>
        </w:tc>
        <w:tc>
          <w:tcPr>
            <w:tcW w:type="dxa" w:w="1514"/>
          </w:tcPr>
          <w:p>
            <w:pPr>
              <w:spacing w:before="20" w:after="20"/>
            </w:pPr>
            <w:r/>
            <w:r>
              <w:rPr>
                <w:rFonts w:ascii="Verdana" w:hAnsi="Verdana"/>
                <w:b w:val="0"/>
                <w:sz w:val="16"/>
              </w:rPr>
              <w:t>Intensité d'image du produit singulier complexe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0 40 040</w:t>
            </w:r>
          </w:p>
        </w:tc>
        <w:tc>
          <w:tcPr>
            <w:tcW w:type="dxa" w:w="1514"/>
          </w:tcPr>
          <w:p>
            <w:pPr>
              <w:spacing w:before="20" w:after="20"/>
            </w:pPr>
            <w:r/>
            <w:r>
              <w:rPr>
                <w:rFonts w:ascii="Verdana" w:hAnsi="Verdana"/>
                <w:b w:val="0"/>
                <w:sz w:val="16"/>
              </w:rPr>
              <w:t>Asymétrie d'image du produit singulier complexe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0 40 041</w:t>
            </w:r>
          </w:p>
        </w:tc>
        <w:tc>
          <w:tcPr>
            <w:tcW w:type="dxa" w:w="1514"/>
          </w:tcPr>
          <w:p>
            <w:pPr>
              <w:spacing w:before="20" w:after="20"/>
            </w:pPr>
            <w:r/>
            <w:r>
              <w:rPr>
                <w:rFonts w:ascii="Verdana" w:hAnsi="Verdana"/>
                <w:b w:val="0"/>
                <w:sz w:val="16"/>
              </w:rPr>
              <w:t>Aplatissement d'image du produit singulier complexe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0 40 042</w:t>
            </w:r>
          </w:p>
        </w:tc>
        <w:tc>
          <w:tcPr>
            <w:tcW w:type="dxa" w:w="1514"/>
          </w:tcPr>
          <w:p>
            <w:pPr>
              <w:spacing w:before="20" w:after="20"/>
            </w:pPr>
            <w:r/>
            <w:r>
              <w:rPr>
                <w:rFonts w:ascii="Verdana" w:hAnsi="Verdana"/>
                <w:b w:val="0"/>
                <w:sz w:val="16"/>
              </w:rPr>
              <w:t>Variance d'image du produit singulier complexe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0 40 043</w:t>
            </w:r>
          </w:p>
        </w:tc>
        <w:tc>
          <w:tcPr>
            <w:tcW w:type="dxa" w:w="1514"/>
          </w:tcPr>
          <w:p>
            <w:pPr>
              <w:spacing w:before="20" w:after="20"/>
            </w:pPr>
            <w:r/>
            <w:r>
              <w:rPr>
                <w:rFonts w:ascii="Verdana" w:hAnsi="Verdana"/>
                <w:b w:val="0"/>
                <w:sz w:val="16"/>
              </w:rPr>
              <w:t>Indicateur de manœuvre du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0 40 044</w:t>
            </w:r>
          </w:p>
        </w:tc>
        <w:tc>
          <w:tcPr>
            <w:tcW w:type="dxa" w:w="1514"/>
          </w:tcPr>
          <w:p>
            <w:pPr>
              <w:spacing w:before="20" w:after="20"/>
            </w:pPr>
            <w:r/>
            <w:r>
              <w:rPr>
                <w:rFonts w:ascii="Verdana" w:hAnsi="Verdana"/>
                <w:b w:val="0"/>
                <w:sz w:val="16"/>
              </w:rPr>
              <w:t>Indice de poussière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0 40 045</w:t>
            </w:r>
          </w:p>
        </w:tc>
        <w:tc>
          <w:tcPr>
            <w:tcW w:type="dxa" w:w="1514"/>
          </w:tcPr>
          <w:p>
            <w:pPr>
              <w:spacing w:before="20" w:after="20"/>
            </w:pPr>
            <w:r/>
            <w:r>
              <w:rPr>
                <w:rFonts w:ascii="Verdana" w:hAnsi="Verdana"/>
                <w:b w:val="0"/>
                <w:sz w:val="16"/>
              </w:rPr>
              <w:t>Formation de nuages et détermination de l'altitude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0 40 046</w:t>
            </w:r>
          </w:p>
        </w:tc>
        <w:tc>
          <w:tcPr>
            <w:tcW w:type="dxa" w:w="1514"/>
          </w:tcPr>
          <w:p>
            <w:pPr>
              <w:spacing w:before="20" w:after="20"/>
            </w:pPr>
            <w:r/>
            <w:r>
              <w:rPr>
                <w:rFonts w:ascii="Verdana" w:hAnsi="Verdana"/>
                <w:b w:val="0"/>
                <w:sz w:val="16"/>
              </w:rPr>
              <w:t>Résumé de la nébulosité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0 40 047</w:t>
            </w:r>
          </w:p>
        </w:tc>
        <w:tc>
          <w:tcPr>
            <w:tcW w:type="dxa" w:w="1514"/>
          </w:tcPr>
          <w:p>
            <w:pPr>
              <w:spacing w:before="20" w:after="20"/>
            </w:pPr>
            <w:r/>
            <w:r>
              <w:rPr>
                <w:rFonts w:ascii="Verdana" w:hAnsi="Verdana"/>
                <w:b w:val="0"/>
                <w:sz w:val="16"/>
              </w:rPr>
              <w:t>Indicateur de validation pour les produits IASI ou IASI-NG de niveau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0 40 048</w:t>
            </w:r>
          </w:p>
        </w:tc>
        <w:tc>
          <w:tcPr>
            <w:tcW w:type="dxa" w:w="1514"/>
          </w:tcPr>
          <w:p>
            <w:pPr>
              <w:spacing w:before="20" w:after="20"/>
            </w:pPr>
            <w:r/>
            <w:r>
              <w:rPr>
                <w:rFonts w:ascii="Verdana" w:hAnsi="Verdana"/>
                <w:b w:val="0"/>
                <w:sz w:val="16"/>
              </w:rPr>
              <w:t>Indicateur de validation pour les flux de données AMSU-A de niveau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0 40 049</w:t>
            </w:r>
          </w:p>
        </w:tc>
        <w:tc>
          <w:tcPr>
            <w:tcW w:type="dxa" w:w="1514"/>
          </w:tcPr>
          <w:p>
            <w:pPr>
              <w:spacing w:before="20" w:after="20"/>
            </w:pPr>
            <w:r/>
            <w:r>
              <w:rPr>
                <w:rFonts w:ascii="Verdana" w:hAnsi="Verdana"/>
                <w:b w:val="0"/>
                <w:sz w:val="16"/>
              </w:rPr>
              <w:t>Tests de nuages effectués et résultats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0 40 050</w:t>
            </w:r>
          </w:p>
        </w:tc>
        <w:tc>
          <w:tcPr>
            <w:tcW w:type="dxa" w:w="1514"/>
          </w:tcPr>
          <w:p>
            <w:pPr>
              <w:spacing w:before="20" w:after="20"/>
            </w:pPr>
            <w:r/>
            <w:r>
              <w:rPr>
                <w:rFonts w:ascii="Verdana" w:hAnsi="Verdana"/>
                <w:b w:val="0"/>
                <w:sz w:val="16"/>
              </w:rPr>
              <w:t>Initialisation de l'extraction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0 40 051</w:t>
            </w:r>
          </w:p>
        </w:tc>
        <w:tc>
          <w:tcPr>
            <w:tcW w:type="dxa" w:w="1514"/>
          </w:tcPr>
          <w:p>
            <w:pPr>
              <w:spacing w:before="20" w:after="20"/>
            </w:pPr>
            <w:r/>
            <w:r>
              <w:rPr>
                <w:rFonts w:ascii="Verdana" w:hAnsi="Verdana"/>
                <w:b w:val="0"/>
                <w:sz w:val="16"/>
              </w:rPr>
              <w:t>Convergence d'extraction itérative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0 40 052</w:t>
            </w:r>
          </w:p>
        </w:tc>
        <w:tc>
          <w:tcPr>
            <w:tcW w:type="dxa" w:w="1514"/>
          </w:tcPr>
          <w:p>
            <w:pPr>
              <w:spacing w:before="20" w:after="20"/>
            </w:pPr>
            <w:r/>
            <w:r>
              <w:rPr>
                <w:rFonts w:ascii="Verdana" w:hAnsi="Verdana"/>
                <w:b w:val="0"/>
                <w:sz w:val="16"/>
              </w:rPr>
              <w:t>Indication de gradient superadiabatique et de sursaturation dans une extraction finale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0 40 053</w:t>
            </w:r>
          </w:p>
        </w:tc>
        <w:tc>
          <w:tcPr>
            <w:tcW w:type="dxa" w:w="1514"/>
          </w:tcPr>
          <w:p>
            <w:pPr>
              <w:spacing w:before="20" w:after="20"/>
            </w:pPr>
            <w:r/>
            <w:r>
              <w:rPr>
                <w:rFonts w:ascii="Verdana" w:hAnsi="Verdana"/>
                <w:b w:val="0"/>
                <w:sz w:val="16"/>
              </w:rPr>
              <w:t>Nombre d'itérations utilisées pour une extraction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0 40 054</w:t>
            </w:r>
          </w:p>
        </w:tc>
        <w:tc>
          <w:tcPr>
            <w:tcW w:type="dxa" w:w="1514"/>
          </w:tcPr>
          <w:p>
            <w:pPr>
              <w:spacing w:before="20" w:after="20"/>
            </w:pPr>
            <w:r/>
            <w:r>
              <w:rPr>
                <w:rFonts w:ascii="Verdana" w:hAnsi="Verdana"/>
                <w:b w:val="0"/>
                <w:sz w:val="16"/>
              </w:rPr>
              <w:t>Erreurs de traitement et d'entrée potentielles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0 40 055</w:t>
            </w:r>
          </w:p>
        </w:tc>
        <w:tc>
          <w:tcPr>
            <w:tcW w:type="dxa" w:w="1514"/>
          </w:tcPr>
          <w:p>
            <w:pPr>
              <w:spacing w:before="20" w:after="20"/>
            </w:pPr>
            <w:r/>
            <w:r>
              <w:rPr>
                <w:rFonts w:ascii="Verdana" w:hAnsi="Verdana"/>
                <w:b w:val="0"/>
                <w:sz w:val="16"/>
              </w:rPr>
              <w:t>Diagnostics relatifs à l'extraction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0 40 056</w:t>
            </w:r>
          </w:p>
        </w:tc>
        <w:tc>
          <w:tcPr>
            <w:tcW w:type="dxa" w:w="1514"/>
          </w:tcPr>
          <w:p>
            <w:pPr>
              <w:spacing w:before="20" w:after="20"/>
            </w:pPr>
            <w:r/>
            <w:r>
              <w:rPr>
                <w:rFonts w:ascii="Verdana" w:hAnsi="Verdana"/>
                <w:b w:val="0"/>
                <w:sz w:val="16"/>
              </w:rPr>
              <w:t>Qualité générale d'une extraction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0 40 057</w:t>
            </w:r>
          </w:p>
        </w:tc>
        <w:tc>
          <w:tcPr>
            <w:tcW w:type="dxa" w:w="1514"/>
          </w:tcPr>
          <w:p>
            <w:pPr>
              <w:spacing w:before="20" w:after="20"/>
            </w:pPr>
            <w:r/>
            <w:r>
              <w:rPr>
                <w:rFonts w:ascii="Verdana" w:hAnsi="Verdana"/>
                <w:b w:val="0"/>
                <w:sz w:val="16"/>
              </w:rPr>
              <w:t>Indicateurs d'extraction de données IASI de niveau 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0 40 058</w:t>
            </w:r>
          </w:p>
        </w:tc>
        <w:tc>
          <w:tcPr>
            <w:tcW w:type="dxa" w:w="1514"/>
          </w:tcPr>
          <w:p>
            <w:pPr>
              <w:spacing w:before="20" w:after="20"/>
            </w:pPr>
            <w:r/>
            <w:r>
              <w:rPr>
                <w:rFonts w:ascii="Verdana" w:hAnsi="Verdana"/>
                <w:b w:val="0"/>
                <w:sz w:val="16"/>
              </w:rPr>
              <w:t>Nombre de vecteurs décrivant les matrices de caractérisation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0 40 059</w:t>
            </w:r>
          </w:p>
        </w:tc>
        <w:tc>
          <w:tcPr>
            <w:tcW w:type="dxa" w:w="1514"/>
          </w:tcPr>
          <w:p>
            <w:pPr>
              <w:spacing w:before="20" w:after="20"/>
            </w:pPr>
            <w:r/>
            <w:r>
              <w:rPr>
                <w:rFonts w:ascii="Verdana" w:hAnsi="Verdana"/>
                <w:b w:val="0"/>
                <w:sz w:val="16"/>
              </w:rPr>
              <w:t>Nombre de couches effectivement extraites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0 40 060</w:t>
            </w:r>
          </w:p>
        </w:tc>
        <w:tc>
          <w:tcPr>
            <w:tcW w:type="dxa" w:w="1514"/>
          </w:tcPr>
          <w:p>
            <w:pPr>
              <w:spacing w:before="20" w:after="20"/>
            </w:pPr>
            <w:r/>
            <w:r>
              <w:rPr>
                <w:rFonts w:ascii="Verdana" w:hAnsi="Verdana"/>
                <w:b w:val="0"/>
                <w:sz w:val="16"/>
              </w:rPr>
              <w:t>Nombre de profils extraits sur une ligne de balayage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0 40 061</w:t>
            </w:r>
          </w:p>
        </w:tc>
        <w:tc>
          <w:tcPr>
            <w:tcW w:type="dxa" w:w="1514"/>
          </w:tcPr>
          <w:p>
            <w:pPr>
              <w:spacing w:before="20" w:after="20"/>
            </w:pPr>
            <w:r/>
            <w:r>
              <w:rPr>
                <w:rFonts w:ascii="Verdana" w:hAnsi="Verdana"/>
                <w:b w:val="0"/>
                <w:sz w:val="16"/>
              </w:rPr>
              <w:t>Colonnes partielles d'air dans chaque couche extraite</w:t>
            </w:r>
          </w:p>
        </w:tc>
        <w:tc>
          <w:tcPr>
            <w:tcW w:type="dxa" w:w="1514"/>
          </w:tcPr>
          <w:p>
            <w:pPr>
              <w:spacing w:before="20" w:after="20"/>
            </w:pPr>
            <w:r/>
            <w:r>
              <w:rPr>
                <w:rFonts w:ascii="Verdana" w:hAnsi="Verdana"/>
                <w:sz w:val="16"/>
              </w:rPr>
              <w:t>mol cm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mol cm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0 40 062</w:t>
            </w:r>
          </w:p>
        </w:tc>
        <w:tc>
          <w:tcPr>
            <w:tcW w:type="dxa" w:w="1514"/>
          </w:tcPr>
          <w:p>
            <w:pPr>
              <w:spacing w:before="20" w:after="20"/>
            </w:pPr>
            <w:r/>
            <w:r>
              <w:rPr>
                <w:rFonts w:ascii="Verdana" w:hAnsi="Verdana"/>
                <w:b w:val="0"/>
                <w:sz w:val="16"/>
              </w:rPr>
              <w:t>Colonnes partielles a priori dans chaque couche extraite</w:t>
            </w:r>
          </w:p>
        </w:tc>
        <w:tc>
          <w:tcPr>
            <w:tcW w:type="dxa" w:w="1514"/>
          </w:tcPr>
          <w:p>
            <w:pPr>
              <w:spacing w:before="20" w:after="20"/>
            </w:pPr>
            <w:r/>
            <w:r>
              <w:rPr>
                <w:rFonts w:ascii="Verdana" w:hAnsi="Verdana"/>
                <w:sz w:val="16"/>
              </w:rPr>
              <w:t>mol cm</w:t>
            </w:r>
            <w:r>
              <w:rPr>
                <w:rFonts w:ascii="Verdana" w:hAnsi="Verdana"/>
                <w:sz w:val="16"/>
                <w:vertAlign w:val="superscript"/>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mol cm</w:t>
            </w:r>
            <w:r>
              <w:rPr>
                <w:rFonts w:ascii="Verdana" w:hAnsi="Verdana"/>
                <w:sz w:val="16"/>
                <w:vertAlign w:val="superscript"/>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0 40 063</w:t>
            </w:r>
          </w:p>
        </w:tc>
        <w:tc>
          <w:tcPr>
            <w:tcW w:type="dxa" w:w="1514"/>
          </w:tcPr>
          <w:p>
            <w:pPr>
              <w:spacing w:before="20" w:after="20"/>
            </w:pPr>
            <w:r/>
            <w:r>
              <w:rPr>
                <w:rFonts w:ascii="Verdana" w:hAnsi="Verdana"/>
                <w:b w:val="0"/>
                <w:sz w:val="16"/>
              </w:rPr>
              <w:t>Vecteur de mise à l'échelle multipliant le vecteur CO a priori afin de définir le vecteur CO extrait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0 40 064</w:t>
            </w:r>
          </w:p>
        </w:tc>
        <w:tc>
          <w:tcPr>
            <w:tcW w:type="dxa" w:w="1514"/>
          </w:tcPr>
          <w:p>
            <w:pPr>
              <w:spacing w:before="20" w:after="20"/>
            </w:pPr>
            <w:r/>
            <w:r>
              <w:rPr>
                <w:rFonts w:ascii="Verdana" w:hAnsi="Verdana"/>
                <w:b w:val="0"/>
                <w:sz w:val="16"/>
              </w:rPr>
              <w:t>Principales valeurs propres de la matrice de sensibilité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0 40 065</w:t>
            </w:r>
          </w:p>
        </w:tc>
        <w:tc>
          <w:tcPr>
            <w:tcW w:type="dxa" w:w="1514"/>
          </w:tcPr>
          <w:p>
            <w:pPr>
              <w:spacing w:before="20" w:after="20"/>
            </w:pPr>
            <w:r/>
            <w:r>
              <w:rPr>
                <w:rFonts w:ascii="Verdana" w:hAnsi="Verdana"/>
                <w:b w:val="0"/>
                <w:sz w:val="16"/>
              </w:rPr>
              <w:t>Principaux vecteurs propres de la matrice de sensibilité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-1000000000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0 40 066</w:t>
            </w:r>
          </w:p>
        </w:tc>
        <w:tc>
          <w:tcPr>
            <w:tcW w:type="dxa" w:w="1514"/>
          </w:tcPr>
          <w:p>
            <w:pPr>
              <w:spacing w:before="20" w:after="20"/>
            </w:pPr>
            <w:r/>
            <w:r>
              <w:rPr>
                <w:rFonts w:ascii="Verdana" w:hAnsi="Verdana"/>
                <w:b w:val="0"/>
                <w:sz w:val="16"/>
              </w:rPr>
              <w:t>Indicateur de qualité pour la vapeur d'eau atmosphérique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0 40 067</w:t>
            </w:r>
          </w:p>
        </w:tc>
        <w:tc>
          <w:tcPr>
            <w:tcW w:type="dxa" w:w="1514"/>
          </w:tcPr>
          <w:p>
            <w:pPr>
              <w:spacing w:before="20" w:after="20"/>
            </w:pPr>
            <w:r/>
            <w:r>
              <w:rPr>
                <w:rFonts w:ascii="Verdana" w:hAnsi="Verdana"/>
                <w:b w:val="0"/>
                <w:sz w:val="16"/>
              </w:rPr>
              <w:t>Indicateur de qualité pour la température atmosphérique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0 40 068</w:t>
            </w:r>
          </w:p>
        </w:tc>
        <w:tc>
          <w:tcPr>
            <w:tcW w:type="dxa" w:w="1514"/>
          </w:tcPr>
          <w:p>
            <w:pPr>
              <w:spacing w:before="20" w:after="20"/>
            </w:pPr>
            <w:r/>
            <w:r>
              <w:rPr>
                <w:rFonts w:ascii="Verdana" w:hAnsi="Verdana"/>
                <w:b w:val="0"/>
                <w:sz w:val="16"/>
              </w:rPr>
              <w:t>Indicateur général de la qualité des extractions pour le SO2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0 40 069</w:t>
            </w:r>
          </w:p>
        </w:tc>
        <w:tc>
          <w:tcPr>
            <w:tcW w:type="dxa" w:w="1514"/>
          </w:tcPr>
          <w:p>
            <w:pPr>
              <w:spacing w:before="20" w:after="20"/>
            </w:pPr>
            <w:r/>
            <w:r>
              <w:rPr>
                <w:rFonts w:ascii="Verdana" w:hAnsi="Verdana"/>
                <w:b w:val="0"/>
                <w:sz w:val="16"/>
              </w:rPr>
              <w:t>Erreur d'extraction estimative de la température de l'air en surface selon la méthode PWLR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(voir Note)</w:t>
            </w:r>
          </w:p>
        </w:tc>
      </w:tr>
      <w:tr>
        <w:trPr>
          <w:cantSplit/>
        </w:trPr>
        <w:tc>
          <w:tcPr>
            <w:tcW w:type="dxa" w:w="1514"/>
          </w:tcPr>
          <w:p>
            <w:pPr>
              <w:spacing w:before="20" w:after="20"/>
            </w:pPr>
            <w:r/>
            <w:r>
              <w:rPr>
                <w:rFonts w:ascii="Verdana" w:hAnsi="Verdana"/>
                <w:b w:val="0"/>
                <w:sz w:val="16"/>
              </w:rPr>
              <w:t>0 40 070</w:t>
            </w:r>
          </w:p>
        </w:tc>
        <w:tc>
          <w:tcPr>
            <w:tcW w:type="dxa" w:w="1514"/>
          </w:tcPr>
          <w:p>
            <w:pPr>
              <w:spacing w:before="20" w:after="20"/>
            </w:pPr>
            <w:r/>
            <w:r>
              <w:rPr>
                <w:rFonts w:ascii="Verdana" w:hAnsi="Verdana"/>
                <w:b w:val="0"/>
                <w:sz w:val="16"/>
              </w:rPr>
              <w:t>Erreur d'extraction estimative du point de rosée en surface selon la méthode PWLR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0 40 071</w:t>
            </w:r>
          </w:p>
        </w:tc>
        <w:tc>
          <w:tcPr>
            <w:tcW w:type="dxa" w:w="1514"/>
          </w:tcPr>
          <w:p>
            <w:pPr>
              <w:spacing w:before="20" w:after="20"/>
            </w:pPr>
            <w:r/>
            <w:r>
              <w:rPr>
                <w:rFonts w:ascii="Verdana" w:hAnsi="Verdana"/>
                <w:b w:val="0"/>
                <w:sz w:val="16"/>
              </w:rPr>
              <w:t>Matrice de covariance d'erreur d'extraction de l'ozone dans le domaine principal des composantes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0 40 072</w:t>
            </w:r>
          </w:p>
        </w:tc>
        <w:tc>
          <w:tcPr>
            <w:tcW w:type="dxa" w:w="1514"/>
          </w:tcPr>
          <w:p>
            <w:pPr>
              <w:spacing w:before="20" w:after="20"/>
            </w:pPr>
            <w:r/>
            <w:r>
              <w:rPr>
                <w:rFonts w:ascii="Verdana" w:hAnsi="Verdana"/>
                <w:b w:val="0"/>
                <w:sz w:val="16"/>
              </w:rPr>
              <w:t>Indicateur estimatif de qualité d'extraction de l'ozone atmosphérique selon la méthode PWLR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0 40 073</w:t>
            </w:r>
          </w:p>
        </w:tc>
        <w:tc>
          <w:tcPr>
            <w:tcW w:type="dxa" w:w="1514"/>
          </w:tcPr>
          <w:p>
            <w:pPr>
              <w:spacing w:before="20" w:after="20"/>
            </w:pPr>
            <w:r/>
            <w:r>
              <w:rPr>
                <w:rFonts w:ascii="Verdana" w:hAnsi="Verdana"/>
                <w:b w:val="0"/>
                <w:sz w:val="16"/>
              </w:rPr>
              <w:t>Erreur d'extraction estimative de la température de la pellicule superficielle selon la méthode PWLR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