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42 : Éléments océanographiques</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0 42 001</w:t>
            </w:r>
          </w:p>
        </w:tc>
        <w:tc>
          <w:tcPr>
            <w:tcW w:type="dxa" w:w="1514"/>
          </w:tcPr>
          <w:p>
            <w:pPr>
              <w:spacing w:before="20" w:after="20"/>
            </w:pPr>
            <w:r/>
            <w:r>
              <w:rPr>
                <w:rFonts w:ascii="Verdana" w:hAnsi="Verdana"/>
                <w:b w:val="0"/>
                <w:sz w:val="16"/>
              </w:rPr>
              <w:t>Direction dominante de la houle dans la partition du spectre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0 42 002</w:t>
            </w:r>
          </w:p>
        </w:tc>
        <w:tc>
          <w:tcPr>
            <w:tcW w:type="dxa" w:w="1514"/>
          </w:tcPr>
          <w:p>
            <w:pPr>
              <w:spacing w:before="20" w:after="20"/>
            </w:pPr>
            <w:r/>
            <w:r>
              <w:rPr>
                <w:rFonts w:ascii="Verdana" w:hAnsi="Verdana"/>
                <w:b w:val="0"/>
                <w:sz w:val="16"/>
              </w:rPr>
              <w:t>Hauteur significative de la houle dans la partition du spectre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0 42 003</w:t>
            </w:r>
          </w:p>
        </w:tc>
        <w:tc>
          <w:tcPr>
            <w:tcW w:type="dxa" w:w="1514"/>
          </w:tcPr>
          <w:p>
            <w:pPr>
              <w:spacing w:before="20" w:after="20"/>
            </w:pPr>
            <w:r/>
            <w:r>
              <w:rPr>
                <w:rFonts w:ascii="Verdana" w:hAnsi="Verdana"/>
                <w:b w:val="0"/>
                <w:sz w:val="16"/>
              </w:rPr>
              <w:t>Longueur d'onde dominante de la houle dans la partition du spectre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0 42 004</w:t>
            </w:r>
          </w:p>
        </w:tc>
        <w:tc>
          <w:tcPr>
            <w:tcW w:type="dxa" w:w="1514"/>
          </w:tcPr>
          <w:p>
            <w:pPr>
              <w:spacing w:before="20" w:after="20"/>
            </w:pPr>
            <w:r/>
            <w:r>
              <w:rPr>
                <w:rFonts w:ascii="Verdana" w:hAnsi="Verdana"/>
                <w:b w:val="0"/>
                <w:sz w:val="16"/>
              </w:rPr>
              <w:t>Degré de confiance pour l'inversion concernant chaque partition du spectre de la houle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0 42 005</w:t>
            </w:r>
          </w:p>
        </w:tc>
        <w:tc>
          <w:tcPr>
            <w:tcW w:type="dxa" w:w="1514"/>
          </w:tcPr>
          <w:p>
            <w:pPr>
              <w:spacing w:before="20" w:after="20"/>
            </w:pPr>
            <w:r/>
            <w:r>
              <w:rPr>
                <w:rFonts w:ascii="Verdana" w:hAnsi="Verdana"/>
                <w:b w:val="0"/>
                <w:sz w:val="16"/>
              </w:rPr>
              <w:t>Facteur de suppression d'ambiguïté pour la partition du spectre de la houle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0 42 006</w:t>
            </w:r>
          </w:p>
        </w:tc>
        <w:tc>
          <w:tcPr>
            <w:tcW w:type="dxa" w:w="1514"/>
          </w:tcPr>
          <w:p>
            <w:pPr>
              <w:spacing w:before="20" w:after="20"/>
            </w:pPr>
            <w:r/>
            <w:r>
              <w:rPr>
                <w:rFonts w:ascii="Verdana" w:hAnsi="Verdana"/>
                <w:b w:val="0"/>
                <w:sz w:val="16"/>
              </w:rPr>
              <w:t>Âge des vagues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0 42 007</w:t>
            </w:r>
          </w:p>
        </w:tc>
        <w:tc>
          <w:tcPr>
            <w:tcW w:type="dxa" w:w="1514"/>
          </w:tcPr>
          <w:p>
            <w:pPr>
              <w:spacing w:before="20" w:after="20"/>
            </w:pPr>
            <w:r/>
            <w:r>
              <w:rPr>
                <w:rFonts w:ascii="Verdana" w:hAnsi="Verdana"/>
                <w:b w:val="0"/>
                <w:sz w:val="16"/>
              </w:rPr>
              <w:t>Plus courte longueur d'onde de la houle en résolution spectrale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0 42 008</w:t>
            </w:r>
          </w:p>
        </w:tc>
        <w:tc>
          <w:tcPr>
            <w:tcW w:type="dxa" w:w="1514"/>
          </w:tcPr>
          <w:p>
            <w:pPr>
              <w:spacing w:before="20" w:after="20"/>
            </w:pPr>
            <w:r/>
            <w:r>
              <w:rPr>
                <w:rFonts w:ascii="Verdana" w:hAnsi="Verdana"/>
                <w:b w:val="0"/>
                <w:sz w:val="16"/>
              </w:rPr>
              <w:t>Largeur de spectre inverse non linéaire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0 42 009</w:t>
            </w:r>
          </w:p>
        </w:tc>
        <w:tc>
          <w:tcPr>
            <w:tcW w:type="dxa" w:w="1514"/>
          </w:tcPr>
          <w:p>
            <w:pPr>
              <w:spacing w:before="20" w:after="20"/>
            </w:pPr>
            <w:r/>
            <w:r>
              <w:rPr>
                <w:rFonts w:ascii="Verdana" w:hAnsi="Verdana"/>
                <w:b w:val="0"/>
                <w:sz w:val="16"/>
              </w:rPr>
              <w:t>Référence pour la partition des cellules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0 42 010</w:t>
            </w:r>
          </w:p>
        </w:tc>
        <w:tc>
          <w:tcPr>
            <w:tcW w:type="dxa" w:w="1514"/>
          </w:tcPr>
          <w:p>
            <w:pPr>
              <w:spacing w:before="20" w:after="20"/>
            </w:pPr>
            <w:r/>
            <w:r>
              <w:rPr>
                <w:rFonts w:ascii="Verdana" w:hAnsi="Verdana"/>
                <w:b w:val="0"/>
                <w:sz w:val="16"/>
              </w:rPr>
              <w:t>Nombre de partitions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0 42 011</w:t>
            </w:r>
          </w:p>
        </w:tc>
        <w:tc>
          <w:tcPr>
            <w:tcW w:type="dxa" w:w="1514"/>
          </w:tcPr>
          <w:p>
            <w:pPr>
              <w:spacing w:before="20" w:after="20"/>
            </w:pPr>
            <w:r/>
            <w:r>
              <w:rPr>
                <w:rFonts w:ascii="Verdana" w:hAnsi="Verdana"/>
                <w:b w:val="0"/>
                <w:sz w:val="16"/>
              </w:rPr>
              <w:t>a1 coefficient de la série de Fourier du spectre directionnel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0 42 012</w:t>
            </w:r>
          </w:p>
        </w:tc>
        <w:tc>
          <w:tcPr>
            <w:tcW w:type="dxa" w:w="1514"/>
          </w:tcPr>
          <w:p>
            <w:pPr>
              <w:spacing w:before="20" w:after="20"/>
            </w:pPr>
            <w:r/>
            <w:r>
              <w:rPr>
                <w:rFonts w:ascii="Verdana" w:hAnsi="Verdana"/>
                <w:b w:val="0"/>
                <w:sz w:val="16"/>
              </w:rPr>
              <w:t>b1 coefficient de la série de Fourier du spectre directionnel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0 42 013</w:t>
            </w:r>
          </w:p>
        </w:tc>
        <w:tc>
          <w:tcPr>
            <w:tcW w:type="dxa" w:w="1514"/>
          </w:tcPr>
          <w:p>
            <w:pPr>
              <w:spacing w:before="20" w:after="20"/>
            </w:pPr>
            <w:r/>
            <w:r>
              <w:rPr>
                <w:rFonts w:ascii="Verdana" w:hAnsi="Verdana"/>
                <w:b w:val="0"/>
                <w:sz w:val="16"/>
              </w:rPr>
              <w:t>a2 coefficient de la série de Fourier du spectre directionnel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0 42 014</w:t>
            </w:r>
          </w:p>
        </w:tc>
        <w:tc>
          <w:tcPr>
            <w:tcW w:type="dxa" w:w="1514"/>
          </w:tcPr>
          <w:p>
            <w:pPr>
              <w:spacing w:before="20" w:after="20"/>
            </w:pPr>
            <w:r/>
            <w:r>
              <w:rPr>
                <w:rFonts w:ascii="Verdana" w:hAnsi="Verdana"/>
                <w:b w:val="0"/>
                <w:sz w:val="16"/>
              </w:rPr>
              <w:t>b2 coefficient de la série de Fourier du spectre directionnel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0 42 015</w:t>
            </w:r>
          </w:p>
        </w:tc>
        <w:tc>
          <w:tcPr>
            <w:tcW w:type="dxa" w:w="1514"/>
          </w:tcPr>
          <w:p>
            <w:pPr>
              <w:spacing w:before="20" w:after="20"/>
            </w:pPr>
            <w:r/>
            <w:r>
              <w:rPr>
                <w:rFonts w:ascii="Verdana" w:hAnsi="Verdana"/>
                <w:b w:val="0"/>
                <w:sz w:val="16"/>
              </w:rPr>
              <w:t>Facteur de contrôle K</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