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04 : Séquences météorologiques communes aux observations par satellite</w:t>
      </w:r>
    </w:p>
    <w:p>
      <w:r>
        <w:rPr>
          <w:rFonts w:ascii="Verdana" w:hAnsi="Verdana"/>
          <w:i/>
          <w:sz w:val="14"/>
        </w:rPr>
        <w:t>Note 4: D’autres descripteurs sont requis pour réduire la charge de travail relative à la base de données de la station, par exemple pour l’identification de l’État fédéral et de l’axe routier.</w:t>
      </w:r>
    </w:p>
    <w:p>
      <w:r>
        <w:rPr>
          <w:rFonts w:ascii="Verdana" w:hAnsi="Verdana"/>
          <w:i/>
          <w:sz w:val="14"/>
        </w:rPr>
        <w:t>Note 7: Des messages BUFR composés peuvent être décrits à l’intérieur de la Section de description des don- nées, le cas échéant (par exemple 3 01 041, 3 04 001, 3 04 002, 3 04 003, 3 04 004, 3 04 005, 3 04 006).</w:t>
      </w:r>
    </w:p>
    <w:p>
      <w:r>
        <w:rPr>
          <w:rFonts w:ascii="Verdana" w:hAnsi="Verdana"/>
          <w:i/>
          <w:sz w:val="14"/>
        </w:rPr>
        <w:t>Note 10: Le décibel (dB) est une mesure logarithmique de la puissance relative ou des valeurs relatives de deux densités de flux, en particulier d’intensités sonores et de densités de puissance radio et radar. En météorologie radar, l’échelle logarithmique (dBZ) est utilisée pour mesurer la réflectivité radar (d’après le glossaire de météorologie de l’ American Meteorological Society ).</w:t>
      </w:r>
    </w:p>
    <w:p>
      <w:r>
        <w:rPr>
          <w:rFonts w:ascii="Verdana" w:hAnsi="Verdana"/>
          <w:i/>
          <w:sz w:val="14"/>
        </w:rPr>
        <w:t>Note 15: Les descripteurs 3 03 021 à 3 03 027 ne sont pas disponibles dans le CREX.</w:t>
      </w:r>
    </w:p>
    <w:p>
      <w:r>
        <w:rPr>
          <w:rFonts w:ascii="Verdana" w:hAnsi="Verdana"/>
          <w:i/>
          <w:sz w:val="14"/>
        </w:rPr>
        <w:t>Note 16: Chaque message BUFR peut contenir des données pour un certain nombre de positions; la technique de compression des messages BUFR n’implique que des ajouts négligeables pour des éléments de données constants.</w:t>
      </w:r>
    </w:p>
    <w:p>
      <w:r>
        <w:rPr>
          <w:rFonts w:ascii="Verdana" w:hAnsi="Verdana"/>
          <w:i/>
          <w:sz w:val="14"/>
        </w:rPr>
        <w:t>Note 32: On pourrait penser qu’étant donné que l’on ne peut procéder qu’à des adjonctions il ne faut utiliser que des lignes complètes; toutefois on peut concevoir que, pour certaines zones précises, il faudra des modifi- cations aussi bien que des adjonctions; il vaut donc mieux donner des descriptions pour tous les champs, notamment dans un souci de clarté.</w:t>
      </w:r>
    </w:p>
    <w:p>
      <w:r>
        <w:rPr>
          <w:rFonts w:ascii="Verdana" w:hAnsi="Verdana"/>
          <w:i/>
          <w:sz w:val="14"/>
        </w:rPr>
        <w:t>Note 34: Le décalage en latitude 0 05 015 est établi par rapport à la latitude du site du lâcher. Le décalage en longitude 0 06 015 est établi par rapport à la longitude du site du lâcher.</w:t>
      </w:r>
    </w:p>
    <w:p>
      <w:r>
        <w:rPr>
          <w:rFonts w:ascii="Verdana" w:hAnsi="Verdana"/>
          <w:i/>
          <w:sz w:val="14"/>
        </w:rPr>
        <w:t>Note 35: Le décalage dans le temps de longue durée 0 04 086 est établi par rapport à l’heure du lâcher 3 01 013 (en secondes).</w:t>
      </w:r>
    </w:p>
    <w:p>
      <w:r>
        <w:rPr>
          <w:rFonts w:ascii="Verdana" w:hAnsi="Verdana"/>
          <w:i/>
          <w:sz w:val="14"/>
        </w:rPr>
        <w:t>Note 43: Le fait de séparer les données satellitaires correspondant à un seul niveau en séries de messages BUFR facilite la compression et permet une transmission et un stockage efficaces des données.</w:t>
      </w:r>
    </w:p>
    <w:p>
      <w:r>
        <w:rPr>
          <w:rFonts w:ascii="Verdana" w:hAnsi="Verdana"/>
          <w:i/>
          <w:sz w:val="14"/>
        </w:rPr>
        <w:t>Note 49: La majorité des stations ne disposent que d’une seule position sur la route et d’un seul capteur de température sous la surface. Des répétitions différées ont été introduites pour accroître la flexibilité et l’efficacité en termes de volume.</w:t>
      </w:r>
    </w:p>
    <w:p>
      <w:r>
        <w:rPr>
          <w:rFonts w:ascii="Verdana" w:hAnsi="Verdana"/>
          <w:i/>
          <w:sz w:val="14"/>
        </w:rPr>
        <w:t>Note 62: Les descripteurs 3 01 041 à 3 01 049 et 3 01 062, 3 01 071, et 3 01 072 ne devraient pas être utilisés pour la transmission dans le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TITRE</w:t>
            </w:r>
          </w:p>
        </w:tc>
        <w:tc>
          <w:tcPr>
            <w:tcW w:type="dxa" w:w="2163"/>
            <w:shd w:val="clear" w:color="auto" w:fill="D9D9D9"/>
          </w:tcPr>
          <w:p>
            <w:pPr>
              <w:spacing w:before="20" w:after="20"/>
            </w:pPr>
            <w:r/>
            <w:r>
              <w:rPr>
                <w:rFonts w:ascii="Verdana" w:hAnsi="Verdana"/>
                <w:b w:val="0"/>
                <w:sz w:val="16"/>
              </w:rPr>
              <w:t>SOUS-TITRE</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 DE L'ÉLÉMENT</w:t>
            </w:r>
          </w:p>
        </w:tc>
        <w:tc>
          <w:tcPr>
            <w:tcW w:type="dxa" w:w="2163"/>
            <w:shd w:val="clear" w:color="auto" w:fill="D9D9D9"/>
          </w:tcPr>
          <w:p>
            <w:pPr>
              <w:spacing w:before="20" w:after="20"/>
            </w:pPr>
            <w:r/>
            <w:r>
              <w:rPr>
                <w:rFonts w:ascii="Verdana" w:hAnsi="Verdana"/>
                <w:b w:val="0"/>
                <w:sz w:val="16"/>
              </w:rPr>
              <w:t>DESCRIPTION DE L'ÉLÉMENT</w:t>
            </w:r>
          </w:p>
        </w:tc>
        <w:tc>
          <w:tcPr>
            <w:tcW w:type="dxa" w:w="2163"/>
            <w:shd w:val="clear" w:color="auto" w:fill="D9D9D9"/>
          </w:tcPr>
          <w:p>
            <w:pPr>
              <w:spacing w:before="20" w:after="20"/>
            </w:pPr>
            <w:r/>
            <w:r>
              <w:rPr>
                <w:rFonts w:ascii="Verdana" w:hAnsi="Verdana"/>
                <w:b w:val="0"/>
                <w:sz w:val="16"/>
              </w:rPr>
              <w:t>NOTE</w:t>
            </w:r>
          </w:p>
        </w:tc>
      </w:tr>
      <w:tr>
        <w:trPr>
          <w:cantSplit/>
        </w:trPr>
        <w:tc>
          <w:tcPr>
            <w:tcW w:type="dxa" w:w="2163"/>
          </w:tcPr>
          <w:p>
            <w:pPr>
              <w:spacing w:before="20" w:after="20"/>
            </w:pPr>
            <w:r>
              <w:rPr>
                <w:b/>
              </w:rPr>
            </w:r>
            <w:r>
              <w:rPr>
                <w:rFonts w:ascii="Verdana" w:hAnsi="Verdana"/>
                <w:b/>
                <w:sz w:val="16"/>
              </w:rPr>
              <w:t>3 04 001</w:t>
            </w:r>
          </w:p>
        </w:tc>
        <w:tc>
          <w:tcPr>
            <w:tcW w:type="dxa" w:w="2163"/>
          </w:tcPr>
          <w:p>
            <w:pPr>
              <w:spacing w:before="20" w:after="20"/>
            </w:pPr>
            <w:r>
              <w:rPr>
                <w:b/>
              </w:rPr>
            </w:r>
            <w:r>
              <w:rPr>
                <w:rFonts w:ascii="Verdana" w:hAnsi="Verdana"/>
                <w:b/>
                <w:sz w:val="16"/>
              </w:rPr>
              <w:t>(Pression au sommet des nuages, température,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3 04 002</w:t>
            </w:r>
          </w:p>
        </w:tc>
        <w:tc>
          <w:tcPr>
            <w:tcW w:type="dxa" w:w="2163"/>
          </w:tcPr>
          <w:p>
            <w:pPr>
              <w:spacing w:before="20" w:after="20"/>
            </w:pPr>
            <w:r>
              <w:rPr>
                <w:b/>
              </w:rPr>
            </w:r>
            <w:r>
              <w:rPr>
                <w:rFonts w:ascii="Verdana" w:hAnsi="Verdana"/>
                <w:b/>
                <w:sz w:val="16"/>
              </w:rPr>
              <w:t>(Pression au sommet des nuages,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3 04 003</w:t>
            </w:r>
          </w:p>
        </w:tc>
        <w:tc>
          <w:tcPr>
            <w:tcW w:type="dxa" w:w="2163"/>
          </w:tcPr>
          <w:p>
            <w:pPr>
              <w:spacing w:before="20" w:after="20"/>
            </w:pPr>
            <w:r>
              <w:rPr>
                <w:b/>
              </w:rPr>
            </w:r>
            <w:r>
              <w:rPr>
                <w:rFonts w:ascii="Verdana" w:hAnsi="Verdana"/>
                <w:b/>
                <w:sz w:val="16"/>
              </w:rPr>
              <w:t>(Température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3 04 004</w:t>
            </w:r>
          </w:p>
        </w:tc>
        <w:tc>
          <w:tcPr>
            <w:tcW w:type="dxa" w:w="2163"/>
          </w:tcPr>
          <w:p>
            <w:pPr>
              <w:spacing w:before="20" w:after="20"/>
            </w:pPr>
            <w:r>
              <w:rPr>
                <w:b/>
              </w:rPr>
            </w:r>
            <w:r>
              <w:rPr>
                <w:rFonts w:ascii="Verdana" w:hAnsi="Verdana"/>
                <w:b/>
                <w:sz w:val="16"/>
              </w:rPr>
              <w:t>(Pression au sommet des nuages, nébulosité,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Nébulosité (totale)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3 04 005</w:t>
            </w:r>
          </w:p>
        </w:tc>
        <w:tc>
          <w:tcPr>
            <w:tcW w:type="dxa" w:w="2163"/>
          </w:tcPr>
          <w:p>
            <w:pPr>
              <w:spacing w:before="20" w:after="20"/>
            </w:pPr>
            <w:r>
              <w:rPr>
                <w:b/>
              </w:rPr>
            </w:r>
            <w:r>
              <w:rPr>
                <w:rFonts w:ascii="Verdana" w:hAnsi="Verdana"/>
                <w:b/>
                <w:sz w:val="16"/>
              </w:rPr>
              <w:t>(Humidité relative moyenne de la couche)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Méthode de calcul de l'humidité moyenne intégrée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Définir la couche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3 04 006</w:t>
            </w:r>
          </w:p>
        </w:tc>
        <w:tc>
          <w:tcPr>
            <w:tcW w:type="dxa" w:w="2163"/>
          </w:tcPr>
          <w:p>
            <w:pPr>
              <w:spacing w:before="20" w:after="20"/>
            </w:pPr>
            <w:r>
              <w:rPr>
                <w:b/>
              </w:rPr>
            </w:r>
            <w:r>
              <w:rPr>
                <w:rFonts w:ascii="Verdana" w:hAnsi="Verdana"/>
                <w:b/>
                <w:sz w:val="16"/>
              </w:rPr>
              <w:t>(Rayonnement)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0 14 001</w:t>
            </w:r>
          </w:p>
        </w:tc>
        <w:tc>
          <w:tcPr>
            <w:tcW w:type="dxa" w:w="2163"/>
          </w:tcPr>
          <w:p>
            <w:pPr>
              <w:spacing w:before="20" w:after="20"/>
            </w:pPr>
            <w:r/>
            <w:r>
              <w:rPr>
                <w:rFonts w:ascii="Verdana" w:hAnsi="Verdana"/>
                <w:b w:val="0"/>
                <w:sz w:val="16"/>
              </w:rPr>
              <w:t>Rayonnement de grande longueur d'onde, intégré sur 24 heures</w:t>
            </w:r>
          </w:p>
        </w:tc>
        <w:tc>
          <w:tcPr>
            <w:tcW w:type="dxa" w:w="2163"/>
          </w:tcPr>
          <w:p>
            <w:pPr>
              <w:spacing w:before="20" w:after="20"/>
            </w:pPr>
            <w:r/>
            <w:r>
              <w:rPr>
                <w:rFonts w:ascii="Verdana" w:hAnsi="Verdana"/>
                <w:b w:val="0"/>
                <w:sz w:val="16"/>
              </w:rPr>
              <w:t>Rayonnement ascendant de grande longueur d'onde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0 14 001</w:t>
            </w:r>
          </w:p>
        </w:tc>
        <w:tc>
          <w:tcPr>
            <w:tcW w:type="dxa" w:w="2163"/>
          </w:tcPr>
          <w:p>
            <w:pPr>
              <w:spacing w:before="20" w:after="20"/>
            </w:pPr>
            <w:r/>
            <w:r>
              <w:rPr>
                <w:rFonts w:ascii="Verdana" w:hAnsi="Verdana"/>
                <w:b w:val="0"/>
                <w:sz w:val="16"/>
              </w:rPr>
              <w:t>Rayonnement de grande longueur d'onde, intégré sur 24 heures</w:t>
            </w:r>
          </w:p>
        </w:tc>
        <w:tc>
          <w:tcPr>
            <w:tcW w:type="dxa" w:w="2163"/>
          </w:tcPr>
          <w:p>
            <w:pPr>
              <w:spacing w:before="20" w:after="20"/>
            </w:pPr>
            <w:r/>
            <w:r>
              <w:rPr>
                <w:rFonts w:ascii="Verdana" w:hAnsi="Verdana"/>
                <w:b w:val="0"/>
                <w:sz w:val="16"/>
              </w:rPr>
              <w:t>Rayonnement descendant de grande longueur d'onde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0 14 003</w:t>
            </w:r>
          </w:p>
        </w:tc>
        <w:tc>
          <w:tcPr>
            <w:tcW w:type="dxa" w:w="2163"/>
          </w:tcPr>
          <w:p>
            <w:pPr>
              <w:spacing w:before="20" w:after="20"/>
            </w:pPr>
            <w:r/>
            <w:r>
              <w:rPr>
                <w:rFonts w:ascii="Verdana" w:hAnsi="Verdana"/>
                <w:b w:val="0"/>
                <w:sz w:val="16"/>
              </w:rPr>
              <w:t>Rayonnement de courte longueur d'onde, intégré sur 24 heures</w:t>
            </w:r>
          </w:p>
        </w:tc>
        <w:tc>
          <w:tcPr>
            <w:tcW w:type="dxa" w:w="2163"/>
          </w:tcPr>
          <w:p>
            <w:pPr>
              <w:spacing w:before="20" w:after="20"/>
            </w:pPr>
            <w:r/>
            <w:r>
              <w:rPr>
                <w:rFonts w:ascii="Verdana" w:hAnsi="Verdana"/>
                <w:b w:val="0"/>
                <w:sz w:val="16"/>
              </w:rPr>
              <w:t>Rayonnement ascendant de courte longueur d'onde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3 04 011</w:t>
            </w:r>
          </w:p>
        </w:tc>
        <w:tc>
          <w:tcPr>
            <w:tcW w:type="dxa" w:w="2163"/>
          </w:tcPr>
          <w:p>
            <w:pPr>
              <w:spacing w:before="20" w:after="20"/>
            </w:pPr>
            <w:r>
              <w:rPr>
                <w:b/>
              </w:rPr>
            </w:r>
            <w:r>
              <w:rPr>
                <w:rFonts w:ascii="Verdana" w:hAnsi="Verdana"/>
                <w:b/>
                <w:sz w:val="16"/>
              </w:rPr>
              <w:t>(GOES-I/M info)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0 02 163</w:t>
            </w:r>
          </w:p>
        </w:tc>
        <w:tc>
          <w:tcPr>
            <w:tcW w:type="dxa" w:w="2163"/>
          </w:tcPr>
          <w:p>
            <w:pPr>
              <w:spacing w:before="20" w:after="20"/>
            </w:pPr>
            <w:r/>
            <w:r>
              <w:rPr>
                <w:rFonts w:ascii="Verdana" w:hAnsi="Verdana"/>
                <w:b w:val="0"/>
                <w:sz w:val="16"/>
              </w:rPr>
              <w:t>Méthode de détermination de l'altitude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0 02 164</w:t>
            </w:r>
          </w:p>
        </w:tc>
        <w:tc>
          <w:tcPr>
            <w:tcW w:type="dxa" w:w="2163"/>
          </w:tcPr>
          <w:p>
            <w:pPr>
              <w:spacing w:before="20" w:after="20"/>
            </w:pPr>
            <w:r/>
            <w:r>
              <w:rPr>
                <w:rFonts w:ascii="Verdana" w:hAnsi="Verdana"/>
                <w:b w:val="0"/>
                <w:sz w:val="16"/>
              </w:rPr>
              <w:t>Méthode de corrélation des traceurs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Identificateur terre/mer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Distance zénithale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0 02 057</w:t>
            </w:r>
          </w:p>
        </w:tc>
        <w:tc>
          <w:tcPr>
            <w:tcW w:type="dxa" w:w="2163"/>
          </w:tcPr>
          <w:p>
            <w:pPr>
              <w:spacing w:before="20" w:after="20"/>
            </w:pPr>
            <w:r/>
            <w:r>
              <w:rPr>
                <w:rFonts w:ascii="Verdana" w:hAnsi="Verdana"/>
                <w:b w:val="0"/>
                <w:sz w:val="16"/>
              </w:rPr>
              <w:t>Origine des renseignements de première approximation pour sondages par satellite GOES-I/M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Année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Heure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1 10 004</w:t>
            </w:r>
          </w:p>
        </w:tc>
        <w:tc>
          <w:tcPr>
            <w:tcW w:type="dxa" w:w="2163"/>
          </w:tcPr>
          <w:p>
            <w:pPr>
              <w:spacing w:before="20" w:after="20"/>
            </w:pPr>
            <w:r/>
            <w:r>
              <w:rPr>
                <w:rFonts w:ascii="Verdana" w:hAnsi="Verdana"/>
                <w:b w:val="0"/>
                <w:sz w:val="16"/>
              </w:rPr>
              <w:t>Répéter 10 descripteurs 4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Heure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Heure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1 03 010</w:t>
            </w:r>
          </w:p>
        </w:tc>
        <w:tc>
          <w:tcPr>
            <w:tcW w:type="dxa" w:w="2163"/>
          </w:tcPr>
          <w:p>
            <w:pPr>
              <w:spacing w:before="20" w:after="20"/>
            </w:pPr>
            <w:r/>
            <w:r>
              <w:rPr>
                <w:rFonts w:ascii="Verdana" w:hAnsi="Verdana"/>
                <w:b w:val="0"/>
                <w:sz w:val="16"/>
              </w:rPr>
              <w:t>Répéter 3 descripteurs 10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0 02 163</w:t>
            </w:r>
          </w:p>
        </w:tc>
        <w:tc>
          <w:tcPr>
            <w:tcW w:type="dxa" w:w="2163"/>
          </w:tcPr>
          <w:p>
            <w:pPr>
              <w:spacing w:before="20" w:after="20"/>
            </w:pPr>
            <w:r/>
            <w:r>
              <w:rPr>
                <w:rFonts w:ascii="Verdana" w:hAnsi="Verdana"/>
                <w:b w:val="0"/>
                <w:sz w:val="16"/>
              </w:rPr>
              <w:t>Méthode de détermination de l'altitude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3 04 030</w:t>
            </w:r>
          </w:p>
        </w:tc>
        <w:tc>
          <w:tcPr>
            <w:tcW w:type="dxa" w:w="2163"/>
          </w:tcPr>
          <w:p>
            <w:pPr>
              <w:spacing w:before="20" w:after="20"/>
            </w:pPr>
            <w:r>
              <w:rPr>
                <w:b/>
              </w:rPr>
            </w:r>
            <w:r>
              <w:rPr>
                <w:rFonts w:ascii="Verdana" w:hAnsi="Verdana"/>
                <w:b/>
                <w:sz w:val="16"/>
              </w:rPr>
              <w:t>(Position de la plate-forme)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0 27 031</w:t>
            </w:r>
          </w:p>
        </w:tc>
        <w:tc>
          <w:tcPr>
            <w:tcW w:type="dxa" w:w="2163"/>
          </w:tcPr>
          <w:p>
            <w:pPr>
              <w:spacing w:before="20" w:after="20"/>
            </w:pPr>
            <w:r/>
            <w:r>
              <w:rPr>
                <w:rFonts w:ascii="Verdana" w:hAnsi="Verdana"/>
                <w:b w:val="0"/>
                <w:sz w:val="16"/>
              </w:rPr>
              <w:t>En direction d'une longitude de 0°, distance à partir du centre de la Terre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0 28 031</w:t>
            </w:r>
          </w:p>
        </w:tc>
        <w:tc>
          <w:tcPr>
            <w:tcW w:type="dxa" w:w="2163"/>
          </w:tcPr>
          <w:p>
            <w:pPr>
              <w:spacing w:before="20" w:after="20"/>
            </w:pPr>
            <w:r/>
            <w:r>
              <w:rPr>
                <w:rFonts w:ascii="Verdana" w:hAnsi="Verdana"/>
                <w:b w:val="0"/>
                <w:sz w:val="16"/>
              </w:rPr>
              <w:t>En direction d'une longitude est à 90°, distance à partir du centre de la Terre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0 10 031</w:t>
            </w:r>
          </w:p>
        </w:tc>
        <w:tc>
          <w:tcPr>
            <w:tcW w:type="dxa" w:w="2163"/>
          </w:tcPr>
          <w:p>
            <w:pPr>
              <w:spacing w:before="20" w:after="20"/>
            </w:pPr>
            <w:r/>
            <w:r>
              <w:rPr>
                <w:rFonts w:ascii="Verdana" w:hAnsi="Verdana"/>
                <w:b w:val="0"/>
                <w:sz w:val="16"/>
              </w:rPr>
              <w:t>En direction du pôle Nord, distance à partir du centre de la Terre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3 04 031</w:t>
            </w:r>
          </w:p>
        </w:tc>
        <w:tc>
          <w:tcPr>
            <w:tcW w:type="dxa" w:w="2163"/>
          </w:tcPr>
          <w:p>
            <w:pPr>
              <w:spacing w:before="20" w:after="20"/>
            </w:pPr>
            <w:r>
              <w:rPr>
                <w:b/>
              </w:rPr>
            </w:r>
            <w:r>
              <w:rPr>
                <w:rFonts w:ascii="Verdana" w:hAnsi="Verdana"/>
                <w:b/>
                <w:sz w:val="16"/>
              </w:rPr>
              <w:t>(Vitesse de déplacement de la plate-forme)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0 01 041</w:t>
            </w:r>
          </w:p>
        </w:tc>
        <w:tc>
          <w:tcPr>
            <w:tcW w:type="dxa" w:w="2163"/>
          </w:tcPr>
          <w:p>
            <w:pPr>
              <w:spacing w:before="20" w:after="20"/>
            </w:pPr>
            <w:r/>
            <w:r>
              <w:rPr>
                <w:rFonts w:ascii="Verdana" w:hAnsi="Verdana"/>
                <w:b w:val="0"/>
                <w:sz w:val="16"/>
              </w:rPr>
              <w:t>Vitesse absolue de la plate-forme - première composante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0 01 042</w:t>
            </w:r>
          </w:p>
        </w:tc>
        <w:tc>
          <w:tcPr>
            <w:tcW w:type="dxa" w:w="2163"/>
          </w:tcPr>
          <w:p>
            <w:pPr>
              <w:spacing w:before="20" w:after="20"/>
            </w:pPr>
            <w:r/>
            <w:r>
              <w:rPr>
                <w:rFonts w:ascii="Verdana" w:hAnsi="Verdana"/>
                <w:b w:val="0"/>
                <w:sz w:val="16"/>
              </w:rPr>
              <w:t>Vitesse absolue de la plate-forme - deuxième composante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0 01 043</w:t>
            </w:r>
          </w:p>
        </w:tc>
        <w:tc>
          <w:tcPr>
            <w:tcW w:type="dxa" w:w="2163"/>
          </w:tcPr>
          <w:p>
            <w:pPr>
              <w:spacing w:before="20" w:after="20"/>
            </w:pPr>
            <w:r/>
            <w:r>
              <w:rPr>
                <w:rFonts w:ascii="Verdana" w:hAnsi="Verdana"/>
                <w:b w:val="0"/>
                <w:sz w:val="16"/>
              </w:rPr>
              <w:t>Vitesse absolue de la plate-forme - troisième composante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3 04 032</w:t>
            </w:r>
          </w:p>
        </w:tc>
        <w:tc>
          <w:tcPr>
            <w:tcW w:type="dxa" w:w="2163"/>
          </w:tcPr>
          <w:p>
            <w:pPr>
              <w:spacing w:before="20" w:after="20"/>
            </w:pPr>
            <w:r>
              <w:rPr>
                <w:b/>
              </w:rPr>
            </w:r>
            <w:r>
              <w:rPr>
                <w:rFonts w:ascii="Verdana" w:hAnsi="Verdana"/>
                <w:b/>
                <w:sz w:val="16"/>
              </w:rPr>
              <w:t>(Nébulosité)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Fréquence centrale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Largeur de bande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Étendue de la couche nuageuse dans le secteur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0 20 082</w:t>
            </w:r>
          </w:p>
        </w:tc>
        <w:tc>
          <w:tcPr>
            <w:tcW w:type="dxa" w:w="2163"/>
          </w:tcPr>
          <w:p>
            <w:pPr>
              <w:spacing w:before="20" w:after="20"/>
            </w:pPr>
            <w:r/>
            <w:r>
              <w:rPr>
                <w:rFonts w:ascii="Verdana" w:hAnsi="Verdana"/>
                <w:b w:val="0"/>
                <w:sz w:val="16"/>
              </w:rPr>
              <w:t>Partie du segment libre de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3 04 033</w:t>
            </w:r>
          </w:p>
        </w:tc>
        <w:tc>
          <w:tcPr>
            <w:tcW w:type="dxa" w:w="2163"/>
          </w:tcPr>
          <w:p>
            <w:pPr>
              <w:spacing w:before="20" w:after="20"/>
            </w:pPr>
            <w:r>
              <w:rPr>
                <w:b/>
              </w:rPr>
            </w:r>
            <w:r>
              <w:rPr>
                <w:rFonts w:ascii="Verdana" w:hAnsi="Verdana"/>
                <w:b/>
                <w:sz w:val="16"/>
              </w:rPr>
              <w:t>(Luminance énergétique par ciel clair)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Instrument de satellite utilisé dans le traitement des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0 02 166</w:t>
            </w:r>
          </w:p>
        </w:tc>
        <w:tc>
          <w:tcPr>
            <w:tcW w:type="dxa" w:w="2163"/>
          </w:tcPr>
          <w:p>
            <w:pPr>
              <w:spacing w:before="20" w:after="20"/>
            </w:pPr>
            <w:r/>
            <w:r>
              <w:rPr>
                <w:rFonts w:ascii="Verdana" w:hAnsi="Verdana"/>
                <w:b w:val="0"/>
                <w:sz w:val="16"/>
              </w:rPr>
              <w:t>Type de luminance énergétique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0 02 167</w:t>
            </w:r>
          </w:p>
        </w:tc>
        <w:tc>
          <w:tcPr>
            <w:tcW w:type="dxa" w:w="2163"/>
          </w:tcPr>
          <w:p>
            <w:pPr>
              <w:spacing w:before="20" w:after="20"/>
            </w:pPr>
            <w:r/>
            <w:r>
              <w:rPr>
                <w:rFonts w:ascii="Verdana" w:hAnsi="Verdana"/>
                <w:b w:val="0"/>
                <w:sz w:val="16"/>
              </w:rPr>
              <w:t>Méthode de calcul de la luminance énergétique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Fréquence centrale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Largeur de bande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0 12 075</w:t>
            </w:r>
          </w:p>
        </w:tc>
        <w:tc>
          <w:tcPr>
            <w:tcW w:type="dxa" w:w="2163"/>
          </w:tcPr>
          <w:p>
            <w:pPr>
              <w:spacing w:before="20" w:after="20"/>
            </w:pPr>
            <w:r/>
            <w:r>
              <w:rPr>
                <w:rFonts w:ascii="Verdana" w:hAnsi="Verdana"/>
                <w:b w:val="0"/>
                <w:sz w:val="16"/>
              </w:rPr>
              <w:t>Luminance énergétique spectrale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0 12 076</w:t>
            </w:r>
          </w:p>
        </w:tc>
        <w:tc>
          <w:tcPr>
            <w:tcW w:type="dxa" w:w="2163"/>
          </w:tcPr>
          <w:p>
            <w:pPr>
              <w:spacing w:before="20" w:after="20"/>
            </w:pPr>
            <w:r/>
            <w:r>
              <w:rPr>
                <w:rFonts w:ascii="Verdana" w:hAnsi="Verdana"/>
                <w:b w:val="0"/>
                <w:sz w:val="16"/>
              </w:rPr>
              <w:t>Luminance énergétique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3 04 034</w:t>
            </w:r>
          </w:p>
        </w:tc>
        <w:tc>
          <w:tcPr>
            <w:tcW w:type="dxa" w:w="2163"/>
          </w:tcPr>
          <w:p>
            <w:pPr>
              <w:spacing w:before="20" w:after="20"/>
            </w:pPr>
            <w:r>
              <w:rPr>
                <w:b/>
              </w:rPr>
            </w:r>
            <w:r>
              <w:rPr>
                <w:rFonts w:ascii="Verdana" w:hAnsi="Verdana"/>
                <w:b/>
                <w:sz w:val="16"/>
              </w:rPr>
              <w:t>(Latitude/longitude, hauteur du soleil, nombre de couches)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1 02 004</w:t>
            </w:r>
          </w:p>
        </w:tc>
        <w:tc>
          <w:tcPr>
            <w:tcW w:type="dxa" w:w="2163"/>
          </w:tcPr>
          <w:p>
            <w:pPr>
              <w:spacing w:before="20" w:after="20"/>
            </w:pPr>
            <w:r/>
            <w:r>
              <w:rPr>
                <w:rFonts w:ascii="Verdana" w:hAnsi="Verdana"/>
                <w:b w:val="0"/>
                <w:sz w:val="16"/>
              </w:rPr>
              <w:t>Répéter 2 descripteurs 4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0 27 001</w:t>
            </w:r>
          </w:p>
        </w:tc>
        <w:tc>
          <w:tcPr>
            <w:tcW w:type="dxa" w:w="2163"/>
          </w:tcPr>
          <w:p>
            <w:pPr>
              <w:spacing w:before="20" w:after="20"/>
            </w:pPr>
            <w:r/>
            <w:r>
              <w:rPr>
                <w:rFonts w:ascii="Verdana" w:hAnsi="Verdana"/>
                <w:b w:val="0"/>
                <w:sz w:val="16"/>
              </w:rPr>
              <w:t>Latitude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0 28 001</w:t>
            </w:r>
          </w:p>
        </w:tc>
        <w:tc>
          <w:tcPr>
            <w:tcW w:type="dxa" w:w="2163"/>
          </w:tcPr>
          <w:p>
            <w:pPr>
              <w:spacing w:before="20" w:after="20"/>
            </w:pPr>
            <w:r/>
            <w:r>
              <w:rPr>
                <w:rFonts w:ascii="Verdana" w:hAnsi="Verdana"/>
                <w:b w:val="0"/>
                <w:sz w:val="16"/>
              </w:rPr>
              <w:t>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0 07 022</w:t>
            </w:r>
          </w:p>
        </w:tc>
        <w:tc>
          <w:tcPr>
            <w:tcW w:type="dxa" w:w="2163"/>
          </w:tcPr>
          <w:p>
            <w:pPr>
              <w:spacing w:before="20" w:after="20"/>
            </w:pPr>
            <w:r/>
            <w:r>
              <w:rPr>
                <w:rFonts w:ascii="Verdana" w:hAnsi="Verdana"/>
                <w:b w:val="0"/>
                <w:sz w:val="16"/>
              </w:rPr>
              <w:t>Hauteur du soleil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Numéro du champ de vision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Nébulosité (totale)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Pression au sommet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0 33 003</w:t>
            </w:r>
          </w:p>
        </w:tc>
        <w:tc>
          <w:tcPr>
            <w:tcW w:type="dxa" w:w="2163"/>
          </w:tcPr>
          <w:p>
            <w:pPr>
              <w:spacing w:before="20" w:after="20"/>
            </w:pPr>
            <w:r/>
            <w:r>
              <w:rPr>
                <w:rFonts w:ascii="Verdana" w:hAnsi="Verdana"/>
                <w:b w:val="0"/>
                <w:sz w:val="16"/>
              </w:rPr>
              <w:t>Informations sur la qualité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0 10 040</w:t>
            </w:r>
          </w:p>
        </w:tc>
        <w:tc>
          <w:tcPr>
            <w:tcW w:type="dxa" w:w="2163"/>
          </w:tcPr>
          <w:p>
            <w:pPr>
              <w:spacing w:before="20" w:after="20"/>
            </w:pPr>
            <w:r/>
            <w:r>
              <w:rPr>
                <w:rFonts w:ascii="Verdana" w:hAnsi="Verdana"/>
                <w:b w:val="0"/>
                <w:sz w:val="16"/>
              </w:rPr>
              <w:t>Données extraites concernant le nombre de couches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3 04 035</w:t>
            </w:r>
          </w:p>
        </w:tc>
        <w:tc>
          <w:tcPr>
            <w:tcW w:type="dxa" w:w="2163"/>
          </w:tcPr>
          <w:p>
            <w:pPr>
              <w:spacing w:before="20" w:after="20"/>
            </w:pPr>
            <w:r>
              <w:rPr>
                <w:b/>
              </w:rPr>
            </w:r>
            <w:r>
              <w:rPr>
                <w:rFonts w:ascii="Verdana" w:hAnsi="Verdana"/>
                <w:b/>
                <w:sz w:val="16"/>
              </w:rPr>
              <w:t>(Toutes les données relatives à la luminance énergétique du ciel)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Fréquence centrale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Largeur de bande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Caractéristique météorologique</w:t>
            </w:r>
          </w:p>
        </w:tc>
        <w:tc>
          <w:tcPr>
            <w:tcW w:type="dxa" w:w="2163"/>
          </w:tcPr>
          <w:p>
            <w:pPr>
              <w:spacing w:before="20" w:after="20"/>
            </w:pPr>
            <w:r/>
            <w:r>
              <w:rPr>
                <w:rFonts w:ascii="Verdana" w:hAnsi="Verdana"/>
                <w:b w:val="0"/>
                <w:sz w:val="16"/>
              </w:rPr>
              <w:t>Type de pixel: clair</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Clair</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Caractéristique météorologique</w:t>
            </w:r>
          </w:p>
        </w:tc>
        <w:tc>
          <w:tcPr>
            <w:tcW w:type="dxa" w:w="2163"/>
          </w:tcPr>
          <w:p>
            <w:pPr>
              <w:spacing w:before="20" w:after="20"/>
            </w:pPr>
            <w:r/>
            <w:r>
              <w:rPr>
                <w:rFonts w:ascii="Verdana" w:hAnsi="Verdana"/>
                <w:b w:val="0"/>
                <w:sz w:val="16"/>
              </w:rPr>
              <w:t>Type de pixel: couvert</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Couvert</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Caractéristique météorologique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inférieur</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Nuages de l'étage inférieur</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moyen</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Nuages de l'étage moyen</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supérieur</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Nuages de l'étage supérieur</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t>Note 1: Les opérations indiquées par les descripteurs d’opérateurs 2 01, 2 02, 2 03, 2 04, 2 07 et 2 08 restent applicables tant qu’elles ne font pas l’objet d’une annulation ou jusqu’à la fin de la sous-série de données.</w:t>
            </w:r>
          </w:p>
        </w:tc>
      </w:tr>
      <w:tr>
        <w:trPr>
          <w:cantSplit/>
        </w:trPr>
        <w:tc>
          <w:tcPr>
            <w:tcW w:type="dxa" w:w="2163"/>
          </w:tcPr>
          <w:p>
            <w:pPr>
              <w:spacing w:before="20" w:after="20"/>
            </w:pPr>
            <w:r>
              <w:rPr>
                <w:b/>
              </w:rPr>
            </w:r>
            <w:r>
              <w:rPr>
                <w:rFonts w:ascii="Verdana" w:hAnsi="Verdana"/>
                <w:b/>
                <w:sz w:val="16"/>
              </w:rPr>
              <w:t>3 04 036</w:t>
            </w:r>
          </w:p>
        </w:tc>
        <w:tc>
          <w:tcPr>
            <w:tcW w:type="dxa" w:w="2163"/>
          </w:tcPr>
          <w:p>
            <w:pPr>
              <w:spacing w:before="20" w:after="20"/>
            </w:pPr>
            <w:r>
              <w:rPr>
                <w:b/>
              </w:rPr>
            </w:r>
            <w:r>
              <w:rPr>
                <w:rFonts w:ascii="Verdana" w:hAnsi="Verdana"/>
                <w:b/>
                <w:sz w:val="16"/>
              </w:rPr>
              <w:t>(Couverture nuageuse)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0 20 082</w:t>
            </w:r>
          </w:p>
        </w:tc>
        <w:tc>
          <w:tcPr>
            <w:tcW w:type="dxa" w:w="2163"/>
          </w:tcPr>
          <w:p>
            <w:pPr>
              <w:spacing w:before="20" w:after="20"/>
            </w:pPr>
            <w:r/>
            <w:r>
              <w:rPr>
                <w:rFonts w:ascii="Verdana" w:hAnsi="Verdana"/>
                <w:b w:val="0"/>
                <w:sz w:val="16"/>
              </w:rPr>
              <w:t>Partie du segment libre de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Identificateur terre/mer</w:t>
            </w:r>
          </w:p>
        </w:tc>
        <w:tc>
          <w:tcPr>
            <w:tcW w:type="dxa" w:w="2163"/>
          </w:tcPr>
          <w:p>
            <w:pPr>
              <w:spacing w:before="20" w:after="20"/>
            </w:pPr>
            <w:r/>
            <w:r>
              <w:rPr>
                <w:rFonts w:ascii="Verdana" w:hAnsi="Verdana"/>
                <w:b w:val="0"/>
                <w:sz w:val="16"/>
              </w:rPr>
              <w:t>Mer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0 20 082</w:t>
            </w:r>
          </w:p>
        </w:tc>
        <w:tc>
          <w:tcPr>
            <w:tcW w:type="dxa" w:w="2163"/>
          </w:tcPr>
          <w:p>
            <w:pPr>
              <w:spacing w:before="20" w:after="20"/>
            </w:pPr>
            <w:r/>
            <w:r>
              <w:rPr>
                <w:rFonts w:ascii="Verdana" w:hAnsi="Verdana"/>
                <w:b w:val="0"/>
                <w:sz w:val="16"/>
              </w:rPr>
              <w:t>Partie du segment libre de nuages</w:t>
            </w:r>
          </w:p>
        </w:tc>
        <w:tc>
          <w:tcPr>
            <w:tcW w:type="dxa" w:w="2163"/>
          </w:tcPr>
          <w:p>
            <w:pPr>
              <w:spacing w:before="20" w:after="20"/>
            </w:pPr>
            <w:r/>
            <w:r>
              <w:rPr>
                <w:rFonts w:ascii="Verdana" w:hAnsi="Verdana"/>
                <w:b w:val="0"/>
                <w:sz w:val="16"/>
              </w:rPr>
              <w:t>Mer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Identificateur terre/mer</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Étendue de la couche nuageuse dans le secteur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inférieur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Étendue de la couche nuageuse dans le secteur</w:t>
            </w:r>
          </w:p>
        </w:tc>
        <w:tc>
          <w:tcPr>
            <w:tcW w:type="dxa" w:w="2163"/>
          </w:tcPr>
          <w:p>
            <w:pPr>
              <w:spacing w:before="20" w:after="20"/>
            </w:pPr>
            <w:r/>
            <w:r>
              <w:rPr>
                <w:rFonts w:ascii="Verdana" w:hAnsi="Verdana"/>
                <w:b w:val="0"/>
                <w:sz w:val="16"/>
              </w:rPr>
              <w:t>Nuages de l'étage inférieur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moyen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Étendue de la couche nuageuse dans le secteur</w:t>
            </w:r>
          </w:p>
        </w:tc>
        <w:tc>
          <w:tcPr>
            <w:tcW w:type="dxa" w:w="2163"/>
          </w:tcPr>
          <w:p>
            <w:pPr>
              <w:spacing w:before="20" w:after="20"/>
            </w:pPr>
            <w:r/>
            <w:r>
              <w:rPr>
                <w:rFonts w:ascii="Verdana" w:hAnsi="Verdana"/>
                <w:b w:val="0"/>
                <w:sz w:val="16"/>
              </w:rPr>
              <w:t>Nuages de l'étage moyen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supérieur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Étendue de la couche nuageuse dans le secteur</w:t>
            </w:r>
          </w:p>
        </w:tc>
        <w:tc>
          <w:tcPr>
            <w:tcW w:type="dxa" w:w="2163"/>
          </w:tcPr>
          <w:p>
            <w:pPr>
              <w:spacing w:before="20" w:after="20"/>
            </w:pPr>
            <w:r/>
            <w:r>
              <w:rPr>
                <w:rFonts w:ascii="Verdana" w:hAnsi="Verdana"/>
                <w:b w:val="0"/>
                <w:sz w:val="16"/>
              </w:rPr>
              <w:t>Nuages de l'étage supérieur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3 04 037</w:t>
            </w:r>
          </w:p>
        </w:tc>
        <w:tc>
          <w:tcPr>
            <w:tcW w:type="dxa" w:w="2163"/>
          </w:tcPr>
          <w:p>
            <w:pPr>
              <w:spacing w:before="20" w:after="20"/>
            </w:pPr>
            <w:r>
              <w:rPr>
                <w:b/>
              </w:rPr>
            </w:r>
            <w:r>
              <w:rPr>
                <w:rFonts w:ascii="Verdana" w:hAnsi="Verdana"/>
                <w:b/>
                <w:sz w:val="16"/>
              </w:rPr>
              <w:t>(Toutes les données relatives à la luminance énergétique du ciel)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Fréquence centrale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Largeur de bande du canal du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Caractéristique météorologique</w:t>
            </w:r>
          </w:p>
        </w:tc>
        <w:tc>
          <w:tcPr>
            <w:tcW w:type="dxa" w:w="2163"/>
          </w:tcPr>
          <w:p>
            <w:pPr>
              <w:spacing w:before="20" w:after="20"/>
            </w:pPr>
            <w:r/>
            <w:r>
              <w:rPr>
                <w:rFonts w:ascii="Verdana" w:hAnsi="Verdana"/>
                <w:b w:val="0"/>
                <w:sz w:val="16"/>
              </w:rPr>
              <w:t>Type de pixel: clair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Clair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Caractéristique météorologique</w:t>
            </w:r>
          </w:p>
        </w:tc>
        <w:tc>
          <w:tcPr>
            <w:tcW w:type="dxa" w:w="2163"/>
          </w:tcPr>
          <w:p>
            <w:pPr>
              <w:spacing w:before="20" w:after="20"/>
            </w:pPr>
            <w:r/>
            <w:r>
              <w:rPr>
                <w:rFonts w:ascii="Verdana" w:hAnsi="Verdana"/>
                <w:b w:val="0"/>
                <w:sz w:val="16"/>
              </w:rPr>
              <w:t>Type de pixel: couvert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Couvert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Caractéristique météorologique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inférieur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Nuages de l'étage inférieur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moyen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Nuages de l'étage moyen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Caractéristique verticale (observations par satellite)</w:t>
            </w:r>
          </w:p>
        </w:tc>
        <w:tc>
          <w:tcPr>
            <w:tcW w:type="dxa" w:w="2163"/>
          </w:tcPr>
          <w:p>
            <w:pPr>
              <w:spacing w:before="20" w:after="20"/>
            </w:pPr>
            <w:r/>
            <w:r>
              <w:rPr>
                <w:rFonts w:ascii="Verdana" w:hAnsi="Verdana"/>
                <w:b w:val="0"/>
                <w:sz w:val="16"/>
              </w:rPr>
              <w:t>Nuages de l'étage supérieur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Température de luminance</w:t>
            </w:r>
          </w:p>
        </w:tc>
        <w:tc>
          <w:tcPr>
            <w:tcW w:type="dxa" w:w="2163"/>
          </w:tcPr>
          <w:p>
            <w:pPr>
              <w:spacing w:before="20" w:after="20"/>
            </w:pPr>
            <w:r/>
            <w:r>
              <w:rPr>
                <w:rFonts w:ascii="Verdana" w:hAnsi="Verdana"/>
                <w:b w:val="0"/>
                <w:sz w:val="16"/>
              </w:rPr>
              <w:t>Nuages de l'étage supérieur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3 04 039</w:t>
            </w:r>
          </w:p>
        </w:tc>
        <w:tc>
          <w:tcPr>
            <w:tcW w:type="dxa" w:w="2163"/>
          </w:tcPr>
          <w:p>
            <w:pPr>
              <w:spacing w:before="20" w:after="20"/>
            </w:pPr>
            <w:r>
              <w:rPr>
                <w:b/>
              </w:rPr>
            </w:r>
            <w:r>
              <w:rPr>
                <w:rFonts w:ascii="Verdana" w:hAnsi="Verdana"/>
                <w:b/>
                <w:sz w:val="16"/>
              </w:rPr>
              <w:t>(Radiance dans le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2 01 136</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t>Ajouter 8 au champ de données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Numéro du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0 14 046</w:t>
            </w:r>
          </w:p>
        </w:tc>
        <w:tc>
          <w:tcPr>
            <w:tcW w:type="dxa" w:w="2163"/>
          </w:tcPr>
          <w:p>
            <w:pPr>
              <w:spacing w:before="20" w:after="20"/>
            </w:pPr>
            <w:r/>
            <w:r>
              <w:rPr>
                <w:rFonts w:ascii="Verdana" w:hAnsi="Verdana"/>
                <w:b w:val="0"/>
                <w:sz w:val="16"/>
              </w:rPr>
              <w:t>Luminance énergétique mise à l'échelle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3 04 040</w:t>
            </w:r>
          </w:p>
        </w:tc>
        <w:tc>
          <w:tcPr>
            <w:tcW w:type="dxa" w:w="2163"/>
          </w:tcPr>
          <w:p>
            <w:pPr>
              <w:spacing w:before="20" w:after="20"/>
            </w:pPr>
            <w:r>
              <w:rPr>
                <w:b/>
              </w:rPr>
            </w:r>
            <w:r>
              <w:rPr>
                <w:rFonts w:ascii="Verdana" w:hAnsi="Verdana"/>
                <w:b/>
                <w:sz w:val="16"/>
              </w:rPr>
              <w:t>(Score des composantes principales dans la bande)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0 25 140</w:t>
            </w:r>
          </w:p>
        </w:tc>
        <w:tc>
          <w:tcPr>
            <w:tcW w:type="dxa" w:w="2163"/>
          </w:tcPr>
          <w:p>
            <w:pPr>
              <w:spacing w:before="20" w:after="20"/>
            </w:pPr>
            <w:r/>
            <w:r>
              <w:rPr>
                <w:rFonts w:ascii="Verdana" w:hAnsi="Verdana"/>
                <w:b w:val="0"/>
                <w:sz w:val="16"/>
              </w:rPr>
              <w:t>Début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0 25 141</w:t>
            </w:r>
          </w:p>
        </w:tc>
        <w:tc>
          <w:tcPr>
            <w:tcW w:type="dxa" w:w="2163"/>
          </w:tcPr>
          <w:p>
            <w:pPr>
              <w:spacing w:before="20" w:after="20"/>
            </w:pPr>
            <w:r/>
            <w:r>
              <w:rPr>
                <w:rFonts w:ascii="Verdana" w:hAnsi="Verdana"/>
                <w:b w:val="0"/>
                <w:sz w:val="16"/>
              </w:rPr>
              <w:t>Fin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0 40 026</w:t>
            </w:r>
          </w:p>
        </w:tc>
        <w:tc>
          <w:tcPr>
            <w:tcW w:type="dxa" w:w="2163"/>
          </w:tcPr>
          <w:p>
            <w:pPr>
              <w:spacing w:before="20" w:after="20"/>
            </w:pPr>
            <w:r/>
            <w:r>
              <w:rPr>
                <w:rFonts w:ascii="Verdana" w:hAnsi="Verdana"/>
                <w:b w:val="0"/>
                <w:sz w:val="16"/>
              </w:rPr>
              <w:t>Facteur de quantification de l'indice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0 40 016</w:t>
            </w:r>
          </w:p>
        </w:tc>
        <w:tc>
          <w:tcPr>
            <w:tcW w:type="dxa" w:w="2163"/>
          </w:tcPr>
          <w:p>
            <w:pPr>
              <w:spacing w:before="20" w:after="20"/>
            </w:pPr>
            <w:r/>
            <w:r>
              <w:rPr>
                <w:rFonts w:ascii="Verdana" w:hAnsi="Verdana"/>
                <w:b w:val="0"/>
                <w:sz w:val="16"/>
              </w:rPr>
              <w:t>Moyenne quadratique résiduelle en bande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0 25 062</w:t>
            </w:r>
          </w:p>
        </w:tc>
        <w:tc>
          <w:tcPr>
            <w:tcW w:type="dxa" w:w="2163"/>
          </w:tcPr>
          <w:p>
            <w:pPr>
              <w:spacing w:before="20" w:after="20"/>
            </w:pPr>
            <w:r/>
            <w:r>
              <w:rPr>
                <w:rFonts w:ascii="Verdana" w:hAnsi="Verdana"/>
                <w:b w:val="0"/>
                <w:sz w:val="16"/>
              </w:rPr>
              <w:t>Identification de la base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Facteur élargi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0 40 017</w:t>
            </w:r>
          </w:p>
        </w:tc>
        <w:tc>
          <w:tcPr>
            <w:tcW w:type="dxa" w:w="2163"/>
          </w:tcPr>
          <w:p>
            <w:pPr>
              <w:spacing w:before="20" w:after="20"/>
            </w:pPr>
            <w:r/>
            <w:r>
              <w:rPr>
                <w:rFonts w:ascii="Verdana" w:hAnsi="Verdana"/>
                <w:b w:val="0"/>
                <w:sz w:val="16"/>
              </w:rPr>
              <w:t>Score des composantes principales non normalisé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