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22 : Séquences relatives aux substances chimiques et aux aérosols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3 22 028</w:t>
            </w:r>
          </w:p>
        </w:tc>
        <w:tc>
          <w:tcPr>
            <w:tcW w:type="dxa" w:w="2163"/>
          </w:tcPr>
          <w:p>
            <w:pPr>
              <w:spacing w:before="20" w:after="20"/>
            </w:pPr>
            <w:r>
              <w:rPr>
                <w:b/>
              </w:rPr>
            </w:r>
            <w:r>
              <w:rPr>
                <w:rFonts w:ascii="Verdana" w:hAnsi="Verdana"/>
                <w:b/>
                <w:sz w:val="16"/>
              </w:rPr>
              <w:t>(METOP/GOME-2)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0 10 001</w:t>
            </w:r>
          </w:p>
        </w:tc>
        <w:tc>
          <w:tcPr>
            <w:tcW w:type="dxa" w:w="2163"/>
          </w:tcPr>
          <w:p>
            <w:pPr>
              <w:spacing w:before="20" w:after="20"/>
            </w:pPr>
            <w:r/>
            <w:r>
              <w:rPr>
                <w:rFonts w:ascii="Verdana" w:hAnsi="Verdana"/>
                <w:b w:val="0"/>
                <w:sz w:val="16"/>
              </w:rPr>
              <w:t>Hauteur de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0 14 019</w:t>
            </w:r>
          </w:p>
        </w:tc>
        <w:tc>
          <w:tcPr>
            <w:tcW w:type="dxa" w:w="2163"/>
          </w:tcPr>
          <w:p>
            <w:pPr>
              <w:spacing w:before="20" w:after="20"/>
            </w:pPr>
            <w:r/>
            <w:r>
              <w:rPr>
                <w:rFonts w:ascii="Verdana" w:hAnsi="Verdana"/>
                <w:b w:val="0"/>
                <w:sz w:val="16"/>
              </w:rPr>
              <w:t>Albédo de la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0 10 080</w:t>
            </w:r>
          </w:p>
        </w:tc>
        <w:tc>
          <w:tcPr>
            <w:tcW w:type="dxa" w:w="2163"/>
          </w:tcPr>
          <w:p>
            <w:pPr>
              <w:spacing w:before="20" w:after="20"/>
            </w:pPr>
            <w:r/>
            <w:r>
              <w:rPr>
                <w:rFonts w:ascii="Verdana" w:hAnsi="Verdana"/>
                <w:b w:val="0"/>
                <w:sz w:val="16"/>
              </w:rPr>
              <w:t>Distance zénithale de la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0 05 023</w:t>
            </w:r>
          </w:p>
        </w:tc>
        <w:tc>
          <w:tcPr>
            <w:tcW w:type="dxa" w:w="2163"/>
          </w:tcPr>
          <w:p>
            <w:pPr>
              <w:spacing w:before="20" w:after="20"/>
            </w:pPr>
            <w:r/>
            <w:r>
              <w:rPr>
                <w:rFonts w:ascii="Verdana" w:hAnsi="Verdana"/>
                <w:b w:val="0"/>
                <w:sz w:val="16"/>
              </w:rPr>
              <w:t>Différence d'azimut entre le soleil et le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Nébulosité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0 14 026</w:t>
            </w:r>
          </w:p>
        </w:tc>
        <w:tc>
          <w:tcPr>
            <w:tcW w:type="dxa" w:w="2163"/>
          </w:tcPr>
          <w:p>
            <w:pPr>
              <w:spacing w:before="20" w:after="20"/>
            </w:pPr>
            <w:r/>
            <w:r>
              <w:rPr>
                <w:rFonts w:ascii="Verdana" w:hAnsi="Verdana"/>
                <w:b w:val="0"/>
                <w:sz w:val="16"/>
              </w:rPr>
              <w:t>Albédo au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0 13 093</w:t>
            </w:r>
          </w:p>
        </w:tc>
        <w:tc>
          <w:tcPr>
            <w:tcW w:type="dxa" w:w="2163"/>
          </w:tcPr>
          <w:p>
            <w:pPr>
              <w:spacing w:before="20" w:after="20"/>
            </w:pPr>
            <w:r/>
            <w:r>
              <w:rPr>
                <w:rFonts w:ascii="Verdana" w:hAnsi="Verdana"/>
                <w:b w:val="0"/>
                <w:sz w:val="16"/>
              </w:rPr>
              <w:t>Épaisseur optique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Type de constituants chimiques ou physiques de l'atmosphère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0 08 044</w:t>
            </w:r>
          </w:p>
        </w:tc>
        <w:tc>
          <w:tcPr>
            <w:tcW w:type="dxa" w:w="2163"/>
          </w:tcPr>
          <w:p>
            <w:pPr>
              <w:spacing w:before="20" w:after="20"/>
            </w:pPr>
            <w:r/>
            <w:r>
              <w:rPr>
                <w:rFonts w:ascii="Verdana" w:hAnsi="Verdana"/>
                <w:b w:val="0"/>
                <w:sz w:val="16"/>
              </w:rPr>
              <w:t>Numéro d'enregistrement 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0 15 021</w:t>
            </w:r>
          </w:p>
        </w:tc>
        <w:tc>
          <w:tcPr>
            <w:tcW w:type="dxa" w:w="2163"/>
          </w:tcPr>
          <w:p>
            <w:pPr>
              <w:spacing w:before="20" w:after="20"/>
            </w:pPr>
            <w:r/>
            <w:r>
              <w:rPr>
                <w:rFonts w:ascii="Verdana" w:hAnsi="Verdana"/>
                <w:b w:val="0"/>
                <w:sz w:val="16"/>
              </w:rPr>
              <w:t>Densité de masse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