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40 : Séquence de messages supplémentaires d'observation par satellites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3 40 001</w:t>
            </w:r>
          </w:p>
        </w:tc>
        <w:tc>
          <w:tcPr>
            <w:tcW w:type="dxa" w:w="2163"/>
          </w:tcPr>
          <w:p>
            <w:pPr>
              <w:spacing w:before="20" w:after="20"/>
            </w:pPr>
            <w:r>
              <w:rPr>
                <w:b/>
              </w:rPr>
            </w:r>
            <w:r>
              <w:rPr>
                <w:rFonts w:ascii="Verdana" w:hAnsi="Verdana"/>
                <w:b/>
                <w:sz w:val="16"/>
              </w:rPr>
              <w:t>(Données IASI de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Ajouter 3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10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5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4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Numéro de paquet principal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Soustraire 2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indicateur de qualité du système IASI pour chaque mesure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 indicateur de caractéristique de bruit de l'instrument (par étalonnage spectral et étalonnage radiométrique)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indicateur d'indice de qualité géométrique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indicateur de caractéristique de bruit de l'instrument (par étalonnage radiométrique)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GqisQualIndexSpect - indicateur de caractéristique de bruit de l'instrument (par étalonnage 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sortie de la fonction qualité du Centre d'expertise technique du système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Répéter 1 descripteur 10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Description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1 01 087</w:t>
            </w:r>
          </w:p>
        </w:tc>
        <w:tc>
          <w:tcPr>
            <w:tcW w:type="dxa" w:w="2163"/>
          </w:tcPr>
          <w:p>
            <w:pPr>
              <w:spacing w:before="20" w:after="20"/>
            </w:pPr>
            <w:r/>
            <w:r>
              <w:rPr>
                <w:rFonts w:ascii="Verdana" w:hAnsi="Verdana"/>
                <w:b w:val="0"/>
                <w:sz w:val="16"/>
              </w:rPr>
              <w:t>Répéter 1 descripteur 87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3 40 003</w:t>
            </w:r>
          </w:p>
        </w:tc>
        <w:tc>
          <w:tcPr>
            <w:tcW w:type="dxa" w:w="2163"/>
          </w:tcPr>
          <w:p>
            <w:pPr>
              <w:spacing w:before="20" w:after="20"/>
            </w:pPr>
            <w:r/>
            <w:r>
              <w:rPr>
                <w:rFonts w:ascii="Verdana" w:hAnsi="Verdana"/>
                <w:b w:val="0"/>
                <w:sz w:val="16"/>
              </w:rPr>
              <w:t>Séquence 100 canaux, IASI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Combinaison de canaux de radiomètre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Répéter 1 descripteur 7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Séquence une scène AVHRR, IASI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3 40 002</w:t>
            </w:r>
          </w:p>
        </w:tc>
        <w:tc>
          <w:tcPr>
            <w:tcW w:type="dxa" w:w="2163"/>
          </w:tcPr>
          <w:p>
            <w:pPr>
              <w:spacing w:before="20" w:after="20"/>
            </w:pPr>
            <w:r>
              <w:rPr>
                <w:b/>
              </w:rPr>
            </w:r>
            <w:r>
              <w:rPr>
                <w:rFonts w:ascii="Verdana" w:hAnsi="Verdana"/>
                <w:b/>
                <w:sz w:val="16"/>
              </w:rPr>
              <w:t>(Description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Début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Fin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Facteur d'échelle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3 40 003</w:t>
            </w:r>
          </w:p>
        </w:tc>
        <w:tc>
          <w:tcPr>
            <w:tcW w:type="dxa" w:w="2163"/>
          </w:tcPr>
          <w:p>
            <w:pPr>
              <w:spacing w:before="20" w:after="20"/>
            </w:pPr>
            <w:r>
              <w:rPr>
                <w:b/>
              </w:rPr>
            </w:r>
            <w:r>
              <w:rPr>
                <w:rFonts w:ascii="Verdana" w:hAnsi="Verdana"/>
                <w:b/>
                <w:sz w:val="16"/>
              </w:rPr>
              <w:t>(Séquence 100 canaux, IASI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1 04 100</w:t>
            </w:r>
          </w:p>
        </w:tc>
        <w:tc>
          <w:tcPr>
            <w:tcW w:type="dxa" w:w="2163"/>
          </w:tcPr>
          <w:p>
            <w:pPr>
              <w:spacing w:before="20" w:after="20"/>
            </w:pPr>
            <w:r/>
            <w:r>
              <w:rPr>
                <w:rFonts w:ascii="Verdana" w:hAnsi="Verdana"/>
                <w:b w:val="0"/>
                <w:sz w:val="16"/>
              </w:rPr>
              <w:t>Répéter 4 descripteurs 100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8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0 14 046</w:t>
            </w:r>
          </w:p>
        </w:tc>
        <w:tc>
          <w:tcPr>
            <w:tcW w:type="dxa" w:w="2163"/>
          </w:tcPr>
          <w:p>
            <w:pPr>
              <w:spacing w:before="20" w:after="20"/>
            </w:pPr>
            <w:r/>
            <w:r>
              <w:rPr>
                <w:rFonts w:ascii="Verdana" w:hAnsi="Verdana"/>
                <w:b w:val="0"/>
                <w:sz w:val="16"/>
              </w:rPr>
              <w:t>Luminance énergétique mise à l'échelle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3 40 004</w:t>
            </w:r>
          </w:p>
        </w:tc>
        <w:tc>
          <w:tcPr>
            <w:tcW w:type="dxa" w:w="2163"/>
          </w:tcPr>
          <w:p>
            <w:pPr>
              <w:spacing w:before="20" w:after="20"/>
            </w:pPr>
            <w:r>
              <w:rPr>
                <w:b/>
              </w:rPr>
            </w:r>
            <w:r>
              <w:rPr>
                <w:rFonts w:ascii="Verdana" w:hAnsi="Verdana"/>
                <w:b/>
                <w:sz w:val="16"/>
              </w:rPr>
              <w:t>(Séquence une scène AVHRR, IASI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0 05 060</w:t>
            </w:r>
          </w:p>
        </w:tc>
        <w:tc>
          <w:tcPr>
            <w:tcW w:type="dxa" w:w="2163"/>
          </w:tcPr>
          <w:p>
            <w:pPr>
              <w:spacing w:before="20" w:after="20"/>
            </w:pPr>
            <w:r/>
            <w:r>
              <w:rPr>
                <w:rFonts w:ascii="Verdana" w:hAnsi="Verdana"/>
                <w:b w:val="0"/>
                <w:sz w:val="16"/>
              </w:rPr>
              <w:t>Position angulaire selon Y du centre de gravité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0 05 061</w:t>
            </w:r>
          </w:p>
        </w:tc>
        <w:tc>
          <w:tcPr>
            <w:tcW w:type="dxa" w:w="2163"/>
          </w:tcPr>
          <w:p>
            <w:pPr>
              <w:spacing w:before="20" w:after="20"/>
            </w:pPr>
            <w:r/>
            <w:r>
              <w:rPr>
                <w:rFonts w:ascii="Verdana" w:hAnsi="Verdana"/>
                <w:b w:val="0"/>
                <w:sz w:val="16"/>
              </w:rPr>
              <w:t>Position angulaire selon Z du centre de gravité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0 25 085</w:t>
            </w:r>
          </w:p>
        </w:tc>
        <w:tc>
          <w:tcPr>
            <w:tcW w:type="dxa" w:w="2163"/>
          </w:tcPr>
          <w:p>
            <w:pPr>
              <w:spacing w:before="20" w:after="20"/>
            </w:pPr>
            <w:r/>
            <w:r>
              <w:rPr>
                <w:rFonts w:ascii="Verdana" w:hAnsi="Verdana"/>
                <w:b w:val="0"/>
                <w:sz w:val="16"/>
              </w:rPr>
              <w:t>Fraction de pixels clairs dans le champ de vision du sondeur HIRS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1 05 006</w:t>
            </w:r>
          </w:p>
        </w:tc>
        <w:tc>
          <w:tcPr>
            <w:tcW w:type="dxa" w:w="2163"/>
          </w:tcPr>
          <w:p>
            <w:pPr>
              <w:spacing w:before="20" w:after="20"/>
            </w:pPr>
            <w:r/>
            <w:r>
              <w:rPr>
                <w:rFonts w:ascii="Verdana" w:hAnsi="Verdana"/>
                <w:b w:val="0"/>
                <w:sz w:val="16"/>
              </w:rPr>
              <w:t>Répéter 5 descripteurs 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Facteur d'échelle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0 14 047</w:t>
            </w:r>
          </w:p>
        </w:tc>
        <w:tc>
          <w:tcPr>
            <w:tcW w:type="dxa" w:w="2163"/>
          </w:tcPr>
          <w:p>
            <w:pPr>
              <w:spacing w:before="20" w:after="20"/>
            </w:pPr>
            <w:r/>
            <w:r>
              <w:rPr>
                <w:rFonts w:ascii="Verdana" w:hAnsi="Verdana"/>
                <w:b w:val="0"/>
                <w:sz w:val="16"/>
              </w:rPr>
              <w:t>Luminance moyenne AVHRR mise à l'échelle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Facteur d'échelle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0 14 048</w:t>
            </w:r>
          </w:p>
        </w:tc>
        <w:tc>
          <w:tcPr>
            <w:tcW w:type="dxa" w:w="2163"/>
          </w:tcPr>
          <w:p>
            <w:pPr>
              <w:spacing w:before="20" w:after="20"/>
            </w:pPr>
            <w:r/>
            <w:r>
              <w:rPr>
                <w:rFonts w:ascii="Verdana" w:hAnsi="Verdana"/>
                <w:b w:val="0"/>
                <w:sz w:val="16"/>
              </w:rPr>
              <w:t>Écart type de la luminance AVHRR mise à l'échelle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3 40 005</w:t>
            </w:r>
          </w:p>
        </w:tc>
        <w:tc>
          <w:tcPr>
            <w:tcW w:type="dxa" w:w="2163"/>
          </w:tcPr>
          <w:p>
            <w:pPr>
              <w:spacing w:before="20" w:after="20"/>
            </w:pPr>
            <w:r>
              <w:rPr>
                <w:b/>
              </w:rPr>
            </w:r>
            <w:r>
              <w:rPr>
                <w:rFonts w:ascii="Verdana" w:hAnsi="Verdana"/>
                <w:b/>
                <w:sz w:val="16"/>
              </w:rPr>
              <w:t>(Données OGDR de la mission JASON-2)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14: Si des «valeurs substituées» sont indiquées, c'est que l'élément de données de la partie d'origine du message est vraisemblablement de mauvaise qualité. Cet élément est cependant conservé dans le message d'origine tel qu'il a été reçu; une valeur plus correcte a été introduite dans le message suivant l'opérateur de valeurs substituées. Si plusieurs substitutions sont à effectuer pour un même élément de données, elles doivent être placées dans un ordre tel que la première substitution se situe en premier, suivie de la substitution suivante, elle-même suivie de la suivante, etc. Ainsi, la «meilleure» valeur se trouvera à la fin de l'ensemble de valeurs substituées. Chaque valeur ou série de valeurs substituées est indiquée par la présence de l'opérateur 2 23 000.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Numéro de cycle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Indicatif du modèle numérique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Type d'écho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Type de surface détecté par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Indicateur d'interpolation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Erreur tridimensionnelle estimative de l'orbite du navigateur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Indicateur de l'état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0 25 098</w:t>
            </w:r>
          </w:p>
        </w:tc>
        <w:tc>
          <w:tcPr>
            <w:tcW w:type="dxa" w:w="2163"/>
          </w:tcPr>
          <w:p>
            <w:pPr>
              <w:spacing w:before="20" w:after="20"/>
            </w:pPr>
            <w:r/>
            <w:r>
              <w:rPr>
                <w:rFonts w:ascii="Verdana" w:hAnsi="Verdana"/>
                <w:b w:val="0"/>
                <w:sz w:val="16"/>
              </w:rPr>
              <w:t>Indicateur de qualité des données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0 25 099</w:t>
            </w:r>
          </w:p>
        </w:tc>
        <w:tc>
          <w:tcPr>
            <w:tcW w:type="dxa" w:w="2163"/>
          </w:tcPr>
          <w:p>
            <w:pPr>
              <w:spacing w:before="20" w:after="20"/>
            </w:pPr>
            <w:r/>
            <w:r>
              <w:rPr>
                <w:rFonts w:ascii="Verdana" w:hAnsi="Verdana"/>
                <w:b w:val="0"/>
                <w:sz w:val="16"/>
              </w:rPr>
              <w:t>Indicateur de qualité de la correction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Indicateur de pluie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Indicateur de l'état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Indicateur de qualité des données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Indicateur d'interprétation de la température de luminance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Indicateur de présence de 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Intervalle océanique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0 22 162</w:t>
            </w:r>
          </w:p>
        </w:tc>
        <w:tc>
          <w:tcPr>
            <w:tcW w:type="dxa" w:w="2163"/>
          </w:tcPr>
          <w:p>
            <w:pPr>
              <w:spacing w:before="20" w:after="20"/>
            </w:pPr>
            <w:r/>
            <w:r>
              <w:rPr>
                <w:rFonts w:ascii="Verdana" w:hAnsi="Verdana"/>
                <w:b w:val="0"/>
                <w:sz w:val="16"/>
              </w:rPr>
              <w:t>Moyenne quadratique de l'intervalle océanique à 20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0 22 163</w:t>
            </w:r>
          </w:p>
        </w:tc>
        <w:tc>
          <w:tcPr>
            <w:tcW w:type="dxa" w:w="2163"/>
          </w:tcPr>
          <w:p>
            <w:pPr>
              <w:spacing w:before="20" w:after="20"/>
            </w:pPr>
            <w:r/>
            <w:r>
              <w:rPr>
                <w:rFonts w:ascii="Verdana" w:hAnsi="Verdana"/>
                <w:b w:val="0"/>
                <w:sz w:val="16"/>
              </w:rPr>
              <w:t>Nombre de points corrects à 20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0 25 160</w:t>
            </w:r>
          </w:p>
        </w:tc>
        <w:tc>
          <w:tcPr>
            <w:tcW w:type="dxa" w:w="2163"/>
          </w:tcPr>
          <w:p>
            <w:pPr>
              <w:spacing w:before="20" w:after="20"/>
            </w:pPr>
            <w:r/>
            <w:r>
              <w:rPr>
                <w:rFonts w:ascii="Verdana" w:hAnsi="Verdana"/>
                <w:b w:val="0"/>
                <w:sz w:val="16"/>
              </w:rPr>
              <w:t>Correction finale de l'erreur instrumentale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Correction du biais d'état de la mer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Hauteur des vagues significative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0 22 164</w:t>
            </w:r>
          </w:p>
        </w:tc>
        <w:tc>
          <w:tcPr>
            <w:tcW w:type="dxa" w:w="2163"/>
          </w:tcPr>
          <w:p>
            <w:pPr>
              <w:spacing w:before="20" w:after="20"/>
            </w:pPr>
            <w:r/>
            <w:r>
              <w:rPr>
                <w:rFonts w:ascii="Verdana" w:hAnsi="Verdana"/>
                <w:b w:val="0"/>
                <w:sz w:val="16"/>
              </w:rPr>
              <w:t>Moyenne quadratique de la hauteur des vagues significative à 20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0 22 165</w:t>
            </w:r>
          </w:p>
        </w:tc>
        <w:tc>
          <w:tcPr>
            <w:tcW w:type="dxa" w:w="2163"/>
          </w:tcPr>
          <w:p>
            <w:pPr>
              <w:spacing w:before="20" w:after="20"/>
            </w:pPr>
            <w:r/>
            <w:r>
              <w:rPr>
                <w:rFonts w:ascii="Verdana" w:hAnsi="Verdana"/>
                <w:b w:val="0"/>
                <w:sz w:val="16"/>
              </w:rPr>
              <w:t>Nombre de points corrects à 20 Hz pour la hauteur des vagues significative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0 22 166</w:t>
            </w:r>
          </w:p>
        </w:tc>
        <w:tc>
          <w:tcPr>
            <w:tcW w:type="dxa" w:w="2163"/>
          </w:tcPr>
          <w:p>
            <w:pPr>
              <w:spacing w:before="20" w:after="20"/>
            </w:pPr>
            <w:r/>
            <w:r>
              <w:rPr>
                <w:rFonts w:ascii="Verdana" w:hAnsi="Verdana"/>
                <w:b w:val="0"/>
                <w:sz w:val="16"/>
              </w:rPr>
              <w:t>Correction finale de l'erreur instrumentale pour la hauteur des vagues significative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Coefficient de rétrodiffusion corrigé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Coefficient de rétrodiffusion corrigé type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0 22 167</w:t>
            </w:r>
          </w:p>
        </w:tc>
        <w:tc>
          <w:tcPr>
            <w:tcW w:type="dxa" w:w="2163"/>
          </w:tcPr>
          <w:p>
            <w:pPr>
              <w:spacing w:before="20" w:after="20"/>
            </w:pPr>
            <w:r/>
            <w:r>
              <w:rPr>
                <w:rFonts w:ascii="Verdana" w:hAnsi="Verdana"/>
                <w:b w:val="0"/>
                <w:sz w:val="16"/>
              </w:rPr>
              <w:t>Nombre de points corrects de rétrodiffusion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Correction finale de l'erreur instrumentale pour la 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Correction d'atténuation sur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0 21 145</w:t>
            </w:r>
          </w:p>
        </w:tc>
        <w:tc>
          <w:tcPr>
            <w:tcW w:type="dxa" w:w="2163"/>
          </w:tcPr>
          <w:p>
            <w:pPr>
              <w:spacing w:before="20" w:after="20"/>
            </w:pPr>
            <w:r/>
            <w:r>
              <w:rPr>
                <w:rFonts w:ascii="Verdana" w:hAnsi="Verdana"/>
                <w:b w:val="0"/>
                <w:sz w:val="16"/>
              </w:rPr>
              <w:t>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0 21 146</w:t>
            </w:r>
          </w:p>
        </w:tc>
        <w:tc>
          <w:tcPr>
            <w:tcW w:type="dxa" w:w="2163"/>
          </w:tcPr>
          <w:p>
            <w:pPr>
              <w:spacing w:before="20" w:after="20"/>
            </w:pPr>
            <w:r/>
            <w:r>
              <w:rPr>
                <w:rFonts w:ascii="Verdana" w:hAnsi="Verdana"/>
                <w:b w:val="0"/>
                <w:sz w:val="16"/>
              </w:rPr>
              <w:t>Moyenne quadratique de la 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0 21 147</w:t>
            </w:r>
          </w:p>
        </w:tc>
        <w:tc>
          <w:tcPr>
            <w:tcW w:type="dxa" w:w="2163"/>
          </w:tcPr>
          <w:p>
            <w:pPr>
              <w:spacing w:before="20" w:after="20"/>
            </w:pPr>
            <w:r/>
            <w:r>
              <w:rPr>
                <w:rFonts w:ascii="Verdana" w:hAnsi="Verdana"/>
                <w:b w:val="0"/>
                <w:sz w:val="16"/>
              </w:rPr>
              <w:t>Nombre de points corrects pour la 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0 22 168</w:t>
            </w:r>
          </w:p>
        </w:tc>
        <w:tc>
          <w:tcPr>
            <w:tcW w:type="dxa" w:w="2163"/>
          </w:tcPr>
          <w:p>
            <w:pPr>
              <w:spacing w:before="20" w:after="20"/>
            </w:pPr>
            <w:r/>
            <w:r>
              <w:rPr>
                <w:rFonts w:ascii="Verdana" w:hAnsi="Verdana"/>
                <w:b w:val="0"/>
                <w:sz w:val="16"/>
              </w:rPr>
              <w:t>Intervalle océanique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0 22 169</w:t>
            </w:r>
          </w:p>
        </w:tc>
        <w:tc>
          <w:tcPr>
            <w:tcW w:type="dxa" w:w="2163"/>
          </w:tcPr>
          <w:p>
            <w:pPr>
              <w:spacing w:before="20" w:after="20"/>
            </w:pPr>
            <w:r/>
            <w:r>
              <w:rPr>
                <w:rFonts w:ascii="Verdana" w:hAnsi="Verdana"/>
                <w:b w:val="0"/>
                <w:sz w:val="16"/>
              </w:rPr>
              <w:t>Moyenne quadratique de l'intervalle océanique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0 22 170</w:t>
            </w:r>
          </w:p>
        </w:tc>
        <w:tc>
          <w:tcPr>
            <w:tcW w:type="dxa" w:w="2163"/>
          </w:tcPr>
          <w:p>
            <w:pPr>
              <w:spacing w:before="20" w:after="20"/>
            </w:pPr>
            <w:r/>
            <w:r>
              <w:rPr>
                <w:rFonts w:ascii="Verdana" w:hAnsi="Verdana"/>
                <w:b w:val="0"/>
                <w:sz w:val="16"/>
              </w:rPr>
              <w:t>Nombre de points corrects à 20 Hz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0 25 161</w:t>
            </w:r>
          </w:p>
        </w:tc>
        <w:tc>
          <w:tcPr>
            <w:tcW w:type="dxa" w:w="2163"/>
          </w:tcPr>
          <w:p>
            <w:pPr>
              <w:spacing w:before="20" w:after="20"/>
            </w:pPr>
            <w:r/>
            <w:r>
              <w:rPr>
                <w:rFonts w:ascii="Verdana" w:hAnsi="Verdana"/>
                <w:b w:val="0"/>
                <w:sz w:val="16"/>
              </w:rPr>
              <w:t>Correction finale de l'erreur instrumentale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0 25 162</w:t>
            </w:r>
          </w:p>
        </w:tc>
        <w:tc>
          <w:tcPr>
            <w:tcW w:type="dxa" w:w="2163"/>
          </w:tcPr>
          <w:p>
            <w:pPr>
              <w:spacing w:before="20" w:after="20"/>
            </w:pPr>
            <w:r/>
            <w:r>
              <w:rPr>
                <w:rFonts w:ascii="Verdana" w:hAnsi="Verdana"/>
                <w:b w:val="0"/>
                <w:sz w:val="16"/>
              </w:rPr>
              <w:t>Correction du biais d'état de la mer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0 22 171</w:t>
            </w:r>
          </w:p>
        </w:tc>
        <w:tc>
          <w:tcPr>
            <w:tcW w:type="dxa" w:w="2163"/>
          </w:tcPr>
          <w:p>
            <w:pPr>
              <w:spacing w:before="20" w:after="20"/>
            </w:pPr>
            <w:r/>
            <w:r>
              <w:rPr>
                <w:rFonts w:ascii="Verdana" w:hAnsi="Verdana"/>
                <w:b w:val="0"/>
                <w:sz w:val="16"/>
              </w:rPr>
              <w:t>Hauteur des vagues significative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0 22 172</w:t>
            </w:r>
          </w:p>
        </w:tc>
        <w:tc>
          <w:tcPr>
            <w:tcW w:type="dxa" w:w="2163"/>
          </w:tcPr>
          <w:p>
            <w:pPr>
              <w:spacing w:before="20" w:after="20"/>
            </w:pPr>
            <w:r/>
            <w:r>
              <w:rPr>
                <w:rFonts w:ascii="Verdana" w:hAnsi="Verdana"/>
                <w:b w:val="0"/>
                <w:sz w:val="16"/>
              </w:rPr>
              <w:t>Moyenne quadratique de la hauteur des vagues significative à 20 Hz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0 22 173</w:t>
            </w:r>
          </w:p>
        </w:tc>
        <w:tc>
          <w:tcPr>
            <w:tcW w:type="dxa" w:w="2163"/>
          </w:tcPr>
          <w:p>
            <w:pPr>
              <w:spacing w:before="20" w:after="20"/>
            </w:pPr>
            <w:r/>
            <w:r>
              <w:rPr>
                <w:rFonts w:ascii="Verdana" w:hAnsi="Verdana"/>
                <w:b w:val="0"/>
                <w:sz w:val="16"/>
              </w:rPr>
              <w:t>Nombre de points corrects à 20 Hz pour la hauteur des vagues significative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0 22 174</w:t>
            </w:r>
          </w:p>
        </w:tc>
        <w:tc>
          <w:tcPr>
            <w:tcW w:type="dxa" w:w="2163"/>
          </w:tcPr>
          <w:p>
            <w:pPr>
              <w:spacing w:before="20" w:after="20"/>
            </w:pPr>
            <w:r/>
            <w:r>
              <w:rPr>
                <w:rFonts w:ascii="Verdana" w:hAnsi="Verdana"/>
                <w:b w:val="0"/>
                <w:sz w:val="16"/>
              </w:rPr>
              <w:t>Correction finale de l'erreur instrumentale pour la hauteur des vagues significative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0 21 170</w:t>
            </w:r>
          </w:p>
        </w:tc>
        <w:tc>
          <w:tcPr>
            <w:tcW w:type="dxa" w:w="2163"/>
          </w:tcPr>
          <w:p>
            <w:pPr>
              <w:spacing w:before="20" w:after="20"/>
            </w:pPr>
            <w:r/>
            <w:r>
              <w:rPr>
                <w:rFonts w:ascii="Verdana" w:hAnsi="Verdana"/>
                <w:b w:val="0"/>
                <w:sz w:val="16"/>
              </w:rPr>
              <w:t>Coefficient de rétrodiffusion corrigé pour l'océan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0 21 171</w:t>
            </w:r>
          </w:p>
        </w:tc>
        <w:tc>
          <w:tcPr>
            <w:tcW w:type="dxa" w:w="2163"/>
          </w:tcPr>
          <w:p>
            <w:pPr>
              <w:spacing w:before="20" w:after="20"/>
            </w:pPr>
            <w:r/>
            <w:r>
              <w:rPr>
                <w:rFonts w:ascii="Verdana" w:hAnsi="Verdana"/>
                <w:b w:val="0"/>
                <w:sz w:val="16"/>
              </w:rPr>
              <w:t>Moyenne quadratique du coefficient de rétrodiffusion corrigé pour l'océan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0 22 175</w:t>
            </w:r>
          </w:p>
        </w:tc>
        <w:tc>
          <w:tcPr>
            <w:tcW w:type="dxa" w:w="2163"/>
          </w:tcPr>
          <w:p>
            <w:pPr>
              <w:spacing w:before="20" w:after="20"/>
            </w:pPr>
            <w:r/>
            <w:r>
              <w:rPr>
                <w:rFonts w:ascii="Verdana" w:hAnsi="Verdana"/>
                <w:b w:val="0"/>
                <w:sz w:val="16"/>
              </w:rPr>
              <w:t>Nombre de points corrects de rétrodiffusion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0 21 172</w:t>
            </w:r>
          </w:p>
        </w:tc>
        <w:tc>
          <w:tcPr>
            <w:tcW w:type="dxa" w:w="2163"/>
          </w:tcPr>
          <w:p>
            <w:pPr>
              <w:spacing w:before="20" w:after="20"/>
            </w:pPr>
            <w:r/>
            <w:r>
              <w:rPr>
                <w:rFonts w:ascii="Verdana" w:hAnsi="Verdana"/>
                <w:b w:val="0"/>
                <w:sz w:val="16"/>
              </w:rPr>
              <w:t>Correction finale de l'erreur instrumentale pour la 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Correction d'atténuation sur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0 21 173</w:t>
            </w:r>
          </w:p>
        </w:tc>
        <w:tc>
          <w:tcPr>
            <w:tcW w:type="dxa" w:w="2163"/>
          </w:tcPr>
          <w:p>
            <w:pPr>
              <w:spacing w:before="20" w:after="20"/>
            </w:pPr>
            <w:r/>
            <w:r>
              <w:rPr>
                <w:rFonts w:ascii="Verdana" w:hAnsi="Verdana"/>
                <w:b w:val="0"/>
                <w:sz w:val="16"/>
              </w:rPr>
              <w:t>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0 21 174</w:t>
            </w:r>
          </w:p>
        </w:tc>
        <w:tc>
          <w:tcPr>
            <w:tcW w:type="dxa" w:w="2163"/>
          </w:tcPr>
          <w:p>
            <w:pPr>
              <w:spacing w:before="20" w:after="20"/>
            </w:pPr>
            <w:r/>
            <w:r>
              <w:rPr>
                <w:rFonts w:ascii="Verdana" w:hAnsi="Verdana"/>
                <w:b w:val="0"/>
                <w:sz w:val="16"/>
              </w:rPr>
              <w:t>Moyenne quadratique de la 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0 21 175</w:t>
            </w:r>
          </w:p>
        </w:tc>
        <w:tc>
          <w:tcPr>
            <w:tcW w:type="dxa" w:w="2163"/>
          </w:tcPr>
          <w:p>
            <w:pPr>
              <w:spacing w:before="20" w:after="20"/>
            </w:pPr>
            <w:r/>
            <w:r>
              <w:rPr>
                <w:rFonts w:ascii="Verdana" w:hAnsi="Verdana"/>
                <w:b w:val="0"/>
                <w:sz w:val="16"/>
              </w:rPr>
              <w:t>Nombre de points corrects pour la 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Teneur en vapeur d'eau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Teneur en eau liquide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Vitesse du vent indiquée par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Vitesse du vent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Topographie dynamique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du centre de gravité au-dessus de l'ellipsoïde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Taux de variation d'altitude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Carré de l'angle de décalage du satellite par rapport au nadir, calculé à partir de l'assiette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Carré de l'angle de décalage du satellite par rapport au nadir, calculé à partir de la forme des 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Correction ionosphérique - modèle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Correction ionosphérique de l'altimètre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Correction de troposphère sèche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Correction de troposphère humide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Correction de troposphère humide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Hauteur moyenne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0 10 097</w:t>
            </w:r>
          </w:p>
        </w:tc>
        <w:tc>
          <w:tcPr>
            <w:tcW w:type="dxa" w:w="2163"/>
          </w:tcPr>
          <w:p>
            <w:pPr>
              <w:spacing w:before="20" w:after="20"/>
            </w:pPr>
            <w:r/>
            <w:r>
              <w:rPr>
                <w:rFonts w:ascii="Verdana" w:hAnsi="Verdana"/>
                <w:b w:val="0"/>
                <w:sz w:val="16"/>
              </w:rPr>
              <w:t>Hauteur moyenne de la surface de la mer fournie par l'altimètre seulement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Hauteur du géoïde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Profondeur de l'océan ou altitude des terres émergées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Hauteur de marée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Hauteur géocentrique totale de marée océanique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Hauteur géocentrique totale de marée océanique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Hauteur de la marée de charge pour le calcul de la marée géocentrique -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Hauteur de la marée de charge pour le calcul de la marée géocentrique -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Hauteur de marée pour une période prolongée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Hauteur de marée pour une période prolongée hors d'équilibre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Hauteur géocentrique de marée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Correction de baromètre inverse</w:t>
            </w:r>
          </w:p>
        </w:tc>
        <w:tc>
          <w:tcPr>
            <w:tcW w:type="dxa" w:w="2163"/>
          </w:tcPr>
          <w:p>
            <w:pPr>
              <w:spacing w:before="20" w:after="20"/>
            </w:pPr>
            <w:r/>
            <w:r>
              <w:rPr>
                <w:rFonts w:ascii="Verdana" w:hAnsi="Verdana"/>
                <w:b w:val="0"/>
                <w:sz w:val="16"/>
              </w:rPr>
              <w:t>Correction de la hauteur de la surface de la mer due à une charge barométrique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Fluctuations haute fréquence de la correction topographique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3 40 007</w:t>
            </w:r>
          </w:p>
        </w:tc>
        <w:tc>
          <w:tcPr>
            <w:tcW w:type="dxa" w:w="2163"/>
          </w:tcPr>
          <w:p>
            <w:pPr>
              <w:spacing w:before="20" w:after="20"/>
            </w:pPr>
            <w:r>
              <w:rPr>
                <w:b/>
              </w:rPr>
            </w:r>
            <w:r>
              <w:rPr>
                <w:rFonts w:ascii="Verdana" w:hAnsi="Verdana"/>
                <w:b/>
                <w:sz w:val="16"/>
              </w:rPr>
              <w:t>(Données IASI de niveau 1c (tous canaux))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Ajouter 3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10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5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4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Numéro de paquet principal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Soustraire 2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Répéter 3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Début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Fin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indicateur de qualité du système IASI pour chaque mesure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 indicateur de caractéristique de bruit de l'instrument (par étalonnage spectral et étalonnage radiométrique)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indicateur d'indice de qualité géométrique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indicateur de caractéristique de bruit de l'instrument (par étalonnage radiométrique)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GqisQualIndexSpect - indicateur de caractéristique de bruit de l'instrument (par étalonnage 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sortie de la fonction qualité du Centre d'expertise technique du système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0 40 020</w:t>
            </w:r>
          </w:p>
        </w:tc>
        <w:tc>
          <w:tcPr>
            <w:tcW w:type="dxa" w:w="2163"/>
          </w:tcPr>
          <w:p>
            <w:pPr>
              <w:spacing w:before="20" w:after="20"/>
            </w:pPr>
            <w:r/>
            <w:r>
              <w:rPr>
                <w:rFonts w:ascii="Verdana" w:hAnsi="Verdana"/>
                <w:b w:val="0"/>
                <w:sz w:val="16"/>
              </w:rPr>
              <w:t>GqisFlagQualDetailed - indicateur de qualité du système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Répéter 1 descripteur 10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Description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1 01 087</w:t>
            </w:r>
          </w:p>
        </w:tc>
        <w:tc>
          <w:tcPr>
            <w:tcW w:type="dxa" w:w="2163"/>
          </w:tcPr>
          <w:p>
            <w:pPr>
              <w:spacing w:before="20" w:after="20"/>
            </w:pPr>
            <w:r/>
            <w:r>
              <w:rPr>
                <w:rFonts w:ascii="Verdana" w:hAnsi="Verdana"/>
                <w:b w:val="0"/>
                <w:sz w:val="16"/>
              </w:rPr>
              <w:t>Répéter 1 descripteur 87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3 40 003</w:t>
            </w:r>
          </w:p>
        </w:tc>
        <w:tc>
          <w:tcPr>
            <w:tcW w:type="dxa" w:w="2163"/>
          </w:tcPr>
          <w:p>
            <w:pPr>
              <w:spacing w:before="20" w:after="20"/>
            </w:pPr>
            <w:r/>
            <w:r>
              <w:rPr>
                <w:rFonts w:ascii="Verdana" w:hAnsi="Verdana"/>
                <w:b w:val="0"/>
                <w:sz w:val="16"/>
              </w:rPr>
              <w:t>Séquence 100 canaux, IASI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Combinaison de canaux de radiomètre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Répéter 1 descripteur 7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Séquence une scène AVHRR, IASI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0 20 083</w:t>
            </w:r>
          </w:p>
        </w:tc>
        <w:tc>
          <w:tcPr>
            <w:tcW w:type="dxa" w:w="2163"/>
          </w:tcPr>
          <w:p>
            <w:pPr>
              <w:spacing w:before="20" w:after="20"/>
            </w:pPr>
            <w:r/>
            <w:r>
              <w:rPr>
                <w:rFonts w:ascii="Verdana" w:hAnsi="Verdana"/>
                <w:b w:val="0"/>
                <w:sz w:val="16"/>
              </w:rPr>
              <w:t>Partie du segment couverte par la scène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0 40 018</w:t>
            </w:r>
          </w:p>
        </w:tc>
        <w:tc>
          <w:tcPr>
            <w:tcW w:type="dxa" w:w="2163"/>
          </w:tcPr>
          <w:p>
            <w:pPr>
              <w:spacing w:before="20" w:after="20"/>
            </w:pPr>
            <w:r/>
            <w:r>
              <w:rPr>
                <w:rFonts w:ascii="Verdana" w:hAnsi="Verdana"/>
                <w:b w:val="0"/>
                <w:sz w:val="16"/>
              </w:rPr>
              <w:t>GIacAvgImagIIS - moyenne des mesures de l'imageur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0 40 019</w:t>
            </w:r>
          </w:p>
        </w:tc>
        <w:tc>
          <w:tcPr>
            <w:tcW w:type="dxa" w:w="2163"/>
          </w:tcPr>
          <w:p>
            <w:pPr>
              <w:spacing w:before="20" w:after="20"/>
            </w:pPr>
            <w:r/>
            <w:r>
              <w:rPr>
                <w:rFonts w:ascii="Verdana" w:hAnsi="Verdana"/>
                <w:b w:val="0"/>
                <w:sz w:val="16"/>
              </w:rPr>
              <w:t>GIacVarImagIIS - variance des mesures de l'imageur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0 40 021</w:t>
            </w:r>
          </w:p>
        </w:tc>
        <w:tc>
          <w:tcPr>
            <w:tcW w:type="dxa" w:w="2163"/>
          </w:tcPr>
          <w:p>
            <w:pPr>
              <w:spacing w:before="20" w:after="20"/>
            </w:pPr>
            <w:r/>
            <w:r>
              <w:rPr>
                <w:rFonts w:ascii="Verdana" w:hAnsi="Verdana"/>
                <w:b w:val="0"/>
                <w:sz w:val="16"/>
              </w:rPr>
              <w:t>Fraction de pixels AVHRR pondérés dans le champ de vision de l'IASI recouvert d'une couche de neige/glace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0 40 022</w:t>
            </w:r>
          </w:p>
        </w:tc>
        <w:tc>
          <w:tcPr>
            <w:tcW w:type="dxa" w:w="2163"/>
          </w:tcPr>
          <w:p>
            <w:pPr>
              <w:spacing w:before="20" w:after="20"/>
            </w:pPr>
            <w:r/>
            <w:r>
              <w:rPr>
                <w:rFonts w:ascii="Verdana" w:hAnsi="Verdana"/>
                <w:b w:val="0"/>
                <w:sz w:val="16"/>
              </w:rPr>
              <w:t>Nombre de pixels AVHRR manquants, erronés ou défaillants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3 40 008</w:t>
            </w:r>
          </w:p>
        </w:tc>
        <w:tc>
          <w:tcPr>
            <w:tcW w:type="dxa" w:w="2163"/>
          </w:tcPr>
          <w:p>
            <w:pPr>
              <w:spacing w:before="20" w:after="20"/>
            </w:pPr>
            <w:r>
              <w:rPr>
                <w:b/>
              </w:rPr>
            </w:r>
            <w:r>
              <w:rPr>
                <w:rFonts w:ascii="Verdana" w:hAnsi="Verdana"/>
                <w:b/>
                <w:sz w:val="16"/>
              </w:rPr>
              <w:t>(Séquence IASI combinant les scores des composantes principales, la sélection des canaux et les données améliorées)</w:t>
            </w:r>
          </w:p>
        </w:tc>
        <w:tc>
          <w:tcPr>
            <w:tcW w:type="dxa" w:w="2163"/>
          </w:tcPr>
          <w:p>
            <w:pPr>
              <w:spacing w:before="20" w:after="20"/>
            </w:pPr>
            <w:r/>
            <w:r>
              <w:rPr>
                <w:rFonts w:ascii="Verdana" w:hAnsi="Verdana"/>
                <w:b w:val="0"/>
                <w:sz w:val="16"/>
              </w:rPr>
              <w:t>Informations sur le traitement par satellite</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 traitement par satellite</w:t>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 traitement par satellite</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 traitement par satellite</w:t>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Ajouter 3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10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 et heure</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5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4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Numéro de paquet principal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Soustraire 2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l'emplacement</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Répéter 3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Début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Fin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indicateur de qualité du système IASI pour chaque mesure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 indicateur de caractéristique de bruit de l'instrument (par étalonnage spectral et étalonnage radiométrique)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indicateur d'indice de qualité géométrique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indicateur de caractéristique de bruit de l'instrument (par étalonnage radiométrique)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GqisQualIndexSpect - indicateur de caractéristique de bruit de l'instrument (par étalonnage 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sortie de la fonction qualité du Centre d'expertise technique du système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t>0 40 020</w:t>
            </w:r>
          </w:p>
        </w:tc>
        <w:tc>
          <w:tcPr>
            <w:tcW w:type="dxa" w:w="2163"/>
          </w:tcPr>
          <w:p>
            <w:pPr>
              <w:spacing w:before="20" w:after="20"/>
            </w:pPr>
            <w:r/>
            <w:r>
              <w:rPr>
                <w:rFonts w:ascii="Verdana" w:hAnsi="Verdana"/>
                <w:b w:val="0"/>
                <w:sz w:val="16"/>
              </w:rPr>
              <w:t>GqisFlagQualDetailed - indicateur de qualité du système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Répéter 1 descripteur 10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Description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8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Sous-ensemble de canaux IASI</w:t>
            </w:r>
          </w:p>
        </w:tc>
        <w:tc>
          <w:tcPr>
            <w:tcW w:type="dxa" w:w="2163"/>
          </w:tcPr>
          <w:p>
            <w:pPr>
              <w:spacing w:before="20" w:after="20"/>
            </w:pPr>
            <w:r/>
            <w:r>
              <w:rPr>
                <w:rFonts w:ascii="Verdana" w:hAnsi="Verdana"/>
                <w:b w:val="0"/>
                <w:sz w:val="16"/>
              </w:rPr>
              <w:t>0 14 046</w:t>
            </w:r>
          </w:p>
        </w:tc>
        <w:tc>
          <w:tcPr>
            <w:tcW w:type="dxa" w:w="2163"/>
          </w:tcPr>
          <w:p>
            <w:pPr>
              <w:spacing w:before="20" w:after="20"/>
            </w:pPr>
            <w:r/>
            <w:r>
              <w:rPr>
                <w:rFonts w:ascii="Verdana" w:hAnsi="Verdana"/>
                <w:b w:val="0"/>
                <w:sz w:val="16"/>
              </w:rPr>
              <w:t>Luminance énergétique mise à l'échelle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Définition de bande pour l'instrument</w:t>
            </w:r>
          </w:p>
        </w:tc>
        <w:tc>
          <w:tcPr>
            <w:tcW w:type="dxa" w:w="2163"/>
          </w:tcPr>
          <w:p>
            <w:pPr>
              <w:spacing w:before="20" w:after="20"/>
            </w:pPr>
            <w:r/>
            <w:r>
              <w:rPr>
                <w:rFonts w:ascii="Verdana" w:hAnsi="Verdana"/>
                <w:b w:val="0"/>
                <w:sz w:val="16"/>
              </w:rPr>
              <w:t>1 08 003</w:t>
            </w:r>
          </w:p>
        </w:tc>
        <w:tc>
          <w:tcPr>
            <w:tcW w:type="dxa" w:w="2163"/>
          </w:tcPr>
          <w:p>
            <w:pPr>
              <w:spacing w:before="20" w:after="20"/>
            </w:pPr>
            <w:r/>
            <w:r>
              <w:rPr>
                <w:rFonts w:ascii="Verdana" w:hAnsi="Verdana"/>
                <w:b w:val="0"/>
                <w:sz w:val="16"/>
              </w:rPr>
              <w:t>Répéter 8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Définition de bande pour l'instrument</w:t>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Début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Définition de bande pour l'instrument</w:t>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Fin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Définition de bande pour l'instrument</w:t>
            </w:r>
          </w:p>
        </w:tc>
        <w:tc>
          <w:tcPr>
            <w:tcW w:type="dxa" w:w="2163"/>
          </w:tcPr>
          <w:p>
            <w:pPr>
              <w:spacing w:before="20" w:after="20"/>
            </w:pPr>
            <w:r/>
            <w:r>
              <w:rPr>
                <w:rFonts w:ascii="Verdana" w:hAnsi="Verdana"/>
                <w:b w:val="0"/>
                <w:sz w:val="16"/>
              </w:rPr>
              <w:t>0 40 026</w:t>
            </w:r>
          </w:p>
        </w:tc>
        <w:tc>
          <w:tcPr>
            <w:tcW w:type="dxa" w:w="2163"/>
          </w:tcPr>
          <w:p>
            <w:pPr>
              <w:spacing w:before="20" w:after="20"/>
            </w:pPr>
            <w:r/>
            <w:r>
              <w:rPr>
                <w:rFonts w:ascii="Verdana" w:hAnsi="Verdana"/>
                <w:b w:val="0"/>
                <w:sz w:val="16"/>
              </w:rPr>
              <w:t>Facteur de quantification de l'indice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Définition de bande pour l'instrument</w:t>
            </w:r>
          </w:p>
        </w:tc>
        <w:tc>
          <w:tcPr>
            <w:tcW w:type="dxa" w:w="2163"/>
          </w:tcPr>
          <w:p>
            <w:pPr>
              <w:spacing w:before="20" w:after="20"/>
            </w:pPr>
            <w:r/>
            <w:r>
              <w:rPr>
                <w:rFonts w:ascii="Verdana" w:hAnsi="Verdana"/>
                <w:b w:val="0"/>
                <w:sz w:val="16"/>
              </w:rPr>
              <w:t>0 40 016</w:t>
            </w:r>
          </w:p>
        </w:tc>
        <w:tc>
          <w:tcPr>
            <w:tcW w:type="dxa" w:w="2163"/>
          </w:tcPr>
          <w:p>
            <w:pPr>
              <w:spacing w:before="20" w:after="20"/>
            </w:pPr>
            <w:r/>
            <w:r>
              <w:rPr>
                <w:rFonts w:ascii="Verdana" w:hAnsi="Verdana"/>
                <w:b w:val="0"/>
                <w:sz w:val="16"/>
              </w:rPr>
              <w:t>Moyenne quadratique résiduelle en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Définition de bande pour l'instrument</w:t>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Identification de la base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Scores des composantes principales - bande</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Scores des composantes principales - bande</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Scores des composantes principales - bande</w:t>
            </w:r>
          </w:p>
        </w:tc>
        <w:tc>
          <w:tcPr>
            <w:tcW w:type="dxa" w:w="2163"/>
          </w:tcPr>
          <w:p>
            <w:pPr>
              <w:spacing w:before="20" w:after="20"/>
            </w:pPr>
            <w:r/>
            <w:r>
              <w:rPr>
                <w:rFonts w:ascii="Verdana" w:hAnsi="Verdana"/>
                <w:b w:val="0"/>
                <w:sz w:val="16"/>
              </w:rPr>
              <w:t>0 40 017</w:t>
            </w:r>
          </w:p>
        </w:tc>
        <w:tc>
          <w:tcPr>
            <w:tcW w:type="dxa" w:w="2163"/>
          </w:tcPr>
          <w:p>
            <w:pPr>
              <w:spacing w:before="20" w:after="20"/>
            </w:pPr>
            <w:r/>
            <w:r>
              <w:rPr>
                <w:rFonts w:ascii="Verdana" w:hAnsi="Verdana"/>
                <w:b w:val="0"/>
                <w:sz w:val="16"/>
              </w:rPr>
              <w:t>Score des composantes principales non normalisé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Combinaison de canaux de radiomètre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Répéter 1 descripteur 7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Séquence une scène AVHRR, IASI niveau 1c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Étendue de la couche nuageuse dans le secteur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0 20 083</w:t>
            </w:r>
          </w:p>
        </w:tc>
        <w:tc>
          <w:tcPr>
            <w:tcW w:type="dxa" w:w="2163"/>
          </w:tcPr>
          <w:p>
            <w:pPr>
              <w:spacing w:before="20" w:after="20"/>
            </w:pPr>
            <w:r/>
            <w:r>
              <w:rPr>
                <w:rFonts w:ascii="Verdana" w:hAnsi="Verdana"/>
                <w:b w:val="0"/>
                <w:sz w:val="16"/>
              </w:rPr>
              <w:t>Partie du segment couverte par la scène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Analyse de la scène AVHRR</w:t>
            </w:r>
          </w:p>
        </w:tc>
        <w:tc>
          <w:tcPr>
            <w:tcW w:type="dxa" w:w="2163"/>
          </w:tcPr>
          <w:p>
            <w:pPr>
              <w:spacing w:before="20" w:after="20"/>
            </w:pPr>
            <w:r/>
            <w:r>
              <w:rPr>
                <w:rFonts w:ascii="Verdana" w:hAnsi="Verdana"/>
                <w:b w:val="0"/>
                <w:sz w:val="16"/>
              </w:rPr>
              <w:t>0 40 018</w:t>
            </w:r>
          </w:p>
        </w:tc>
        <w:tc>
          <w:tcPr>
            <w:tcW w:type="dxa" w:w="2163"/>
          </w:tcPr>
          <w:p>
            <w:pPr>
              <w:spacing w:before="20" w:after="20"/>
            </w:pPr>
            <w:r/>
            <w:r>
              <w:rPr>
                <w:rFonts w:ascii="Verdana" w:hAnsi="Verdana"/>
                <w:b w:val="0"/>
                <w:sz w:val="16"/>
              </w:rPr>
              <w:t>GIacAvgImagIIS - moyenne des mesures de l'imageur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0 40 019</w:t>
            </w:r>
          </w:p>
        </w:tc>
        <w:tc>
          <w:tcPr>
            <w:tcW w:type="dxa" w:w="2163"/>
          </w:tcPr>
          <w:p>
            <w:pPr>
              <w:spacing w:before="20" w:after="20"/>
            </w:pPr>
            <w:r/>
            <w:r>
              <w:rPr>
                <w:rFonts w:ascii="Verdana" w:hAnsi="Verdana"/>
                <w:b w:val="0"/>
                <w:sz w:val="16"/>
              </w:rPr>
              <w:t>GIacVarImagIIS - variance des mesures de l'imageur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0 40 021</w:t>
            </w:r>
          </w:p>
        </w:tc>
        <w:tc>
          <w:tcPr>
            <w:tcW w:type="dxa" w:w="2163"/>
          </w:tcPr>
          <w:p>
            <w:pPr>
              <w:spacing w:before="20" w:after="20"/>
            </w:pPr>
            <w:r/>
            <w:r>
              <w:rPr>
                <w:rFonts w:ascii="Verdana" w:hAnsi="Verdana"/>
                <w:b w:val="0"/>
                <w:sz w:val="16"/>
              </w:rPr>
              <w:t>Fraction de pixels AVHRR pondérés dans le champ de vision de l'IASI recouvert d'une couche de neige/glace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0 40 022</w:t>
            </w:r>
          </w:p>
        </w:tc>
        <w:tc>
          <w:tcPr>
            <w:tcW w:type="dxa" w:w="2163"/>
          </w:tcPr>
          <w:p>
            <w:pPr>
              <w:spacing w:before="20" w:after="20"/>
            </w:pPr>
            <w:r/>
            <w:r>
              <w:rPr>
                <w:rFonts w:ascii="Verdana" w:hAnsi="Verdana"/>
                <w:b w:val="0"/>
                <w:sz w:val="16"/>
              </w:rPr>
              <w:t>Nombre de pixels AVHRR manquants, erronés ou défaillants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3 40 009</w:t>
            </w:r>
          </w:p>
        </w:tc>
        <w:tc>
          <w:tcPr>
            <w:tcW w:type="dxa" w:w="2163"/>
          </w:tcPr>
          <w:p>
            <w:pPr>
              <w:spacing w:before="20" w:after="20"/>
            </w:pPr>
            <w:r>
              <w:rPr>
                <w:b/>
              </w:rPr>
            </w:r>
            <w:r>
              <w:rPr>
                <w:rFonts w:ascii="Verdana" w:hAnsi="Verdana"/>
                <w:b/>
                <w:sz w:val="16"/>
              </w:rPr>
              <w:t>(Indice différentiel normalisé de végétation (NDVI))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8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0 25 071</w:t>
            </w:r>
          </w:p>
        </w:tc>
        <w:tc>
          <w:tcPr>
            <w:tcW w:type="dxa" w:w="2163"/>
          </w:tcPr>
          <w:p>
            <w:pPr>
              <w:spacing w:before="20" w:after="20"/>
            </w:pPr>
            <w:r/>
            <w:r>
              <w:rPr>
                <w:rFonts w:ascii="Verdana" w:hAnsi="Verdana"/>
                <w:b w:val="0"/>
                <w:sz w:val="16"/>
              </w:rPr>
              <w:t>Numéro de paquet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1 07 064</w:t>
            </w:r>
          </w:p>
        </w:tc>
        <w:tc>
          <w:tcPr>
            <w:tcW w:type="dxa" w:w="2163"/>
          </w:tcPr>
          <w:p>
            <w:pPr>
              <w:spacing w:before="20" w:after="20"/>
            </w:pPr>
            <w:r/>
            <w:r>
              <w:rPr>
                <w:rFonts w:ascii="Verdana" w:hAnsi="Verdana"/>
                <w:b w:val="0"/>
                <w:sz w:val="16"/>
              </w:rPr>
              <w:t>Répéter 7 descripteurs 64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1 06 032</w:t>
            </w:r>
          </w:p>
        </w:tc>
        <w:tc>
          <w:tcPr>
            <w:tcW w:type="dxa" w:w="2163"/>
          </w:tcPr>
          <w:p>
            <w:pPr>
              <w:spacing w:before="20" w:after="20"/>
            </w:pPr>
            <w:r/>
            <w:r>
              <w:rPr>
                <w:rFonts w:ascii="Verdana" w:hAnsi="Verdana"/>
                <w:b w:val="0"/>
                <w:sz w:val="16"/>
              </w:rPr>
              <w:t>Répéter 6 descripteurs 32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0 08 013</w:t>
            </w:r>
          </w:p>
        </w:tc>
        <w:tc>
          <w:tcPr>
            <w:tcW w:type="dxa" w:w="2163"/>
          </w:tcPr>
          <w:p>
            <w:pPr>
              <w:spacing w:before="20" w:after="20"/>
            </w:pPr>
            <w:r/>
            <w:r>
              <w:rPr>
                <w:rFonts w:ascii="Verdana" w:hAnsi="Verdana"/>
                <w:b w:val="0"/>
                <w:sz w:val="16"/>
              </w:rPr>
              <w:t>Identificateur jour/nuit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0 08 065</w:t>
            </w:r>
          </w:p>
        </w:tc>
        <w:tc>
          <w:tcPr>
            <w:tcW w:type="dxa" w:w="2163"/>
          </w:tcPr>
          <w:p>
            <w:pPr>
              <w:spacing w:before="20" w:after="20"/>
            </w:pPr>
            <w:r/>
            <w:r>
              <w:rPr>
                <w:rFonts w:ascii="Verdana" w:hAnsi="Verdana"/>
                <w:b w:val="0"/>
                <w:sz w:val="16"/>
              </w:rPr>
              <w:t>Indicateur de reflet solaire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Type de pixel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0 13 039</w:t>
            </w:r>
          </w:p>
        </w:tc>
        <w:tc>
          <w:tcPr>
            <w:tcW w:type="dxa" w:w="2163"/>
          </w:tcPr>
          <w:p>
            <w:pPr>
              <w:spacing w:before="20" w:after="20"/>
            </w:pPr>
            <w:r/>
            <w:r>
              <w:rPr>
                <w:rFonts w:ascii="Verdana" w:hAnsi="Verdana"/>
                <w:b w:val="0"/>
                <w:sz w:val="16"/>
              </w:rPr>
              <w:t>Type de terrain (glace/neige)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0 40 015</w:t>
            </w:r>
          </w:p>
        </w:tc>
        <w:tc>
          <w:tcPr>
            <w:tcW w:type="dxa" w:w="2163"/>
          </w:tcPr>
          <w:p>
            <w:pPr>
              <w:spacing w:before="20" w:after="20"/>
            </w:pPr>
            <w:r/>
            <w:r>
              <w:rPr>
                <w:rFonts w:ascii="Verdana" w:hAnsi="Verdana"/>
                <w:b w:val="0"/>
                <w:sz w:val="16"/>
              </w:rPr>
              <w:t>Indice différentiel normalisé de végétation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3 40 010</w:t>
            </w:r>
          </w:p>
        </w:tc>
        <w:tc>
          <w:tcPr>
            <w:tcW w:type="dxa" w:w="2163"/>
          </w:tcPr>
          <w:p>
            <w:pPr>
              <w:spacing w:before="20" w:after="20"/>
            </w:pPr>
            <w:r>
              <w:rPr>
                <w:b/>
              </w:rPr>
            </w:r>
            <w:r>
              <w:rPr>
                <w:rFonts w:ascii="Verdana" w:hAnsi="Verdana"/>
                <w:b/>
                <w:sz w:val="16"/>
              </w:rPr>
              <w:t>(Données OGDR de la mission JASON-2)</w:t>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Numéro de cycle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Satellite</w:t>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Indicatif du modèle numérique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Datation</w:t>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Type d'écho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Emplacement et type de surface</w:t>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Type de surface détecté par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Indicateur d'interpolation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Erreur tridimensionnelle estimative de l'orbite du navigateur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Indicateur de l'état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0 25 098</w:t>
            </w:r>
          </w:p>
        </w:tc>
        <w:tc>
          <w:tcPr>
            <w:tcW w:type="dxa" w:w="2163"/>
          </w:tcPr>
          <w:p>
            <w:pPr>
              <w:spacing w:before="20" w:after="20"/>
            </w:pPr>
            <w:r/>
            <w:r>
              <w:rPr>
                <w:rFonts w:ascii="Verdana" w:hAnsi="Verdana"/>
                <w:b w:val="0"/>
                <w:sz w:val="16"/>
              </w:rPr>
              <w:t>Indicateur de qualité des données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0 25 099</w:t>
            </w:r>
          </w:p>
        </w:tc>
        <w:tc>
          <w:tcPr>
            <w:tcW w:type="dxa" w:w="2163"/>
          </w:tcPr>
          <w:p>
            <w:pPr>
              <w:spacing w:before="20" w:after="20"/>
            </w:pPr>
            <w:r/>
            <w:r>
              <w:rPr>
                <w:rFonts w:ascii="Verdana" w:hAnsi="Verdana"/>
                <w:b w:val="0"/>
                <w:sz w:val="16"/>
              </w:rPr>
              <w:t>Indicateur de qualité de la correction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Indicateur de pluie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Indicateur de l'état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Indicateur de qualité des données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Indicateur d'interprétation de la température de luminance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Indicateur de présence de 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Indicateur de l'état de l'altimètre auxiliaire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Existence de cartes météorologiques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Indicateurs</w:t>
            </w:r>
          </w:p>
        </w:tc>
        <w:tc>
          <w:tcPr>
            <w:tcW w:type="dxa" w:w="2163"/>
          </w:tcPr>
          <w:p>
            <w:pPr>
              <w:spacing w:before="20" w:after="20"/>
            </w:pPr>
            <w:r/>
            <w:r>
              <w:rPr>
                <w:rFonts w:ascii="Verdana" w:hAnsi="Verdana"/>
                <w:b w:val="0"/>
                <w:sz w:val="16"/>
              </w:rPr>
              <w:t>0 40 025</w:t>
            </w:r>
          </w:p>
        </w:tc>
        <w:tc>
          <w:tcPr>
            <w:tcW w:type="dxa" w:w="2163"/>
          </w:tcPr>
          <w:p>
            <w:pPr>
              <w:spacing w:before="20" w:after="20"/>
            </w:pPr>
            <w:r/>
            <w:r>
              <w:rPr>
                <w:rFonts w:ascii="Verdana" w:hAnsi="Verdana"/>
                <w:b w:val="0"/>
                <w:sz w:val="16"/>
              </w:rPr>
              <w:t>Indicateur d'interpolation pour la marée diurne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Intervalle océanique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0 22 162</w:t>
            </w:r>
          </w:p>
        </w:tc>
        <w:tc>
          <w:tcPr>
            <w:tcW w:type="dxa" w:w="2163"/>
          </w:tcPr>
          <w:p>
            <w:pPr>
              <w:spacing w:before="20" w:after="20"/>
            </w:pPr>
            <w:r/>
            <w:r>
              <w:rPr>
                <w:rFonts w:ascii="Verdana" w:hAnsi="Verdana"/>
                <w:b w:val="0"/>
                <w:sz w:val="16"/>
              </w:rPr>
              <w:t>Moyenne quadratique de l'intervalle océanique à 20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0 22 163</w:t>
            </w:r>
          </w:p>
        </w:tc>
        <w:tc>
          <w:tcPr>
            <w:tcW w:type="dxa" w:w="2163"/>
          </w:tcPr>
          <w:p>
            <w:pPr>
              <w:spacing w:before="20" w:after="20"/>
            </w:pPr>
            <w:r/>
            <w:r>
              <w:rPr>
                <w:rFonts w:ascii="Verdana" w:hAnsi="Verdana"/>
                <w:b w:val="0"/>
                <w:sz w:val="16"/>
              </w:rPr>
              <w:t>Nombre de points corrects à 20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0 25 160</w:t>
            </w:r>
          </w:p>
        </w:tc>
        <w:tc>
          <w:tcPr>
            <w:tcW w:type="dxa" w:w="2163"/>
          </w:tcPr>
          <w:p>
            <w:pPr>
              <w:spacing w:before="20" w:after="20"/>
            </w:pPr>
            <w:r/>
            <w:r>
              <w:rPr>
                <w:rFonts w:ascii="Verdana" w:hAnsi="Verdana"/>
                <w:b w:val="0"/>
                <w:sz w:val="16"/>
              </w:rPr>
              <w:t>Correction finale de l'erreur instrumentale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Correction du biais d'état de la mer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Hauteur significative des vagues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0 22 164</w:t>
            </w:r>
          </w:p>
        </w:tc>
        <w:tc>
          <w:tcPr>
            <w:tcW w:type="dxa" w:w="2163"/>
          </w:tcPr>
          <w:p>
            <w:pPr>
              <w:spacing w:before="20" w:after="20"/>
            </w:pPr>
            <w:r/>
            <w:r>
              <w:rPr>
                <w:rFonts w:ascii="Verdana" w:hAnsi="Verdana"/>
                <w:b w:val="0"/>
                <w:sz w:val="16"/>
              </w:rPr>
              <w:t>Moyenne quadratique de la hauteur significative des vagues à 20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0 22 165</w:t>
            </w:r>
          </w:p>
        </w:tc>
        <w:tc>
          <w:tcPr>
            <w:tcW w:type="dxa" w:w="2163"/>
          </w:tcPr>
          <w:p>
            <w:pPr>
              <w:spacing w:before="20" w:after="20"/>
            </w:pPr>
            <w:r/>
            <w:r>
              <w:rPr>
                <w:rFonts w:ascii="Verdana" w:hAnsi="Verdana"/>
                <w:b w:val="0"/>
                <w:sz w:val="16"/>
              </w:rPr>
              <w:t>Nombre de points corrects à 20 Hz pour la hauteur significative des vagues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0 22 166</w:t>
            </w:r>
          </w:p>
        </w:tc>
        <w:tc>
          <w:tcPr>
            <w:tcW w:type="dxa" w:w="2163"/>
          </w:tcPr>
          <w:p>
            <w:pPr>
              <w:spacing w:before="20" w:after="20"/>
            </w:pPr>
            <w:r/>
            <w:r>
              <w:rPr>
                <w:rFonts w:ascii="Verdana" w:hAnsi="Verdana"/>
                <w:b w:val="0"/>
                <w:sz w:val="16"/>
              </w:rPr>
              <w:t>Correction finale de l'erreur instrumentale pour la hauteur significative des vagues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Coefficient de rétrodiffusion corrigé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Coefficient de rétrodiffusion corrigé type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0 22 167</w:t>
            </w:r>
          </w:p>
        </w:tc>
        <w:tc>
          <w:tcPr>
            <w:tcW w:type="dxa" w:w="2163"/>
          </w:tcPr>
          <w:p>
            <w:pPr>
              <w:spacing w:before="20" w:after="20"/>
            </w:pPr>
            <w:r/>
            <w:r>
              <w:rPr>
                <w:rFonts w:ascii="Verdana" w:hAnsi="Verdana"/>
                <w:b w:val="0"/>
                <w:sz w:val="16"/>
              </w:rPr>
              <w:t>Nombre de points corrects de rétrodiffusion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Correction finale de l'erreur instrumentale pour la 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Correction d'atténuation sur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0 21 145</w:t>
            </w:r>
          </w:p>
        </w:tc>
        <w:tc>
          <w:tcPr>
            <w:tcW w:type="dxa" w:w="2163"/>
          </w:tcPr>
          <w:p>
            <w:pPr>
              <w:spacing w:before="20" w:after="20"/>
            </w:pPr>
            <w:r/>
            <w:r>
              <w:rPr>
                <w:rFonts w:ascii="Verdana" w:hAnsi="Verdana"/>
                <w:b w:val="0"/>
                <w:sz w:val="16"/>
              </w:rPr>
              <w:t>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0 21 146</w:t>
            </w:r>
          </w:p>
        </w:tc>
        <w:tc>
          <w:tcPr>
            <w:tcW w:type="dxa" w:w="2163"/>
          </w:tcPr>
          <w:p>
            <w:pPr>
              <w:spacing w:before="20" w:after="20"/>
            </w:pPr>
            <w:r/>
            <w:r>
              <w:rPr>
                <w:rFonts w:ascii="Verdana" w:hAnsi="Verdana"/>
                <w:b w:val="0"/>
                <w:sz w:val="16"/>
              </w:rPr>
              <w:t>Moyenne quadratique de la 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Ku</w:t>
            </w:r>
          </w:p>
        </w:tc>
        <w:tc>
          <w:tcPr>
            <w:tcW w:type="dxa" w:w="2163"/>
          </w:tcPr>
          <w:p>
            <w:pPr>
              <w:spacing w:before="20" w:after="20"/>
            </w:pPr>
            <w:r/>
            <w:r>
              <w:rPr>
                <w:rFonts w:ascii="Verdana" w:hAnsi="Verdana"/>
                <w:b w:val="0"/>
                <w:sz w:val="16"/>
              </w:rPr>
              <w:t>0 21 147</w:t>
            </w:r>
          </w:p>
        </w:tc>
        <w:tc>
          <w:tcPr>
            <w:tcW w:type="dxa" w:w="2163"/>
          </w:tcPr>
          <w:p>
            <w:pPr>
              <w:spacing w:before="20" w:after="20"/>
            </w:pPr>
            <w:r/>
            <w:r>
              <w:rPr>
                <w:rFonts w:ascii="Verdana" w:hAnsi="Verdana"/>
                <w:b w:val="0"/>
                <w:sz w:val="16"/>
              </w:rPr>
              <w:t>Nombre de points corrects pour la 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0 22 168</w:t>
            </w:r>
          </w:p>
        </w:tc>
        <w:tc>
          <w:tcPr>
            <w:tcW w:type="dxa" w:w="2163"/>
          </w:tcPr>
          <w:p>
            <w:pPr>
              <w:spacing w:before="20" w:after="20"/>
            </w:pPr>
            <w:r/>
            <w:r>
              <w:rPr>
                <w:rFonts w:ascii="Verdana" w:hAnsi="Verdana"/>
                <w:b w:val="0"/>
                <w:sz w:val="16"/>
              </w:rPr>
              <w:t>Intervalle océanique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0 22 169</w:t>
            </w:r>
          </w:p>
        </w:tc>
        <w:tc>
          <w:tcPr>
            <w:tcW w:type="dxa" w:w="2163"/>
          </w:tcPr>
          <w:p>
            <w:pPr>
              <w:spacing w:before="20" w:after="20"/>
            </w:pPr>
            <w:r/>
            <w:r>
              <w:rPr>
                <w:rFonts w:ascii="Verdana" w:hAnsi="Verdana"/>
                <w:b w:val="0"/>
                <w:sz w:val="16"/>
              </w:rPr>
              <w:t>Moyenne quadratique de l'intervalle océanique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0 22 170</w:t>
            </w:r>
          </w:p>
        </w:tc>
        <w:tc>
          <w:tcPr>
            <w:tcW w:type="dxa" w:w="2163"/>
          </w:tcPr>
          <w:p>
            <w:pPr>
              <w:spacing w:before="20" w:after="20"/>
            </w:pPr>
            <w:r/>
            <w:r>
              <w:rPr>
                <w:rFonts w:ascii="Verdana" w:hAnsi="Verdana"/>
                <w:b w:val="0"/>
                <w:sz w:val="16"/>
              </w:rPr>
              <w:t>Nombre de points corrects à 20 Hz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0 25 161</w:t>
            </w:r>
          </w:p>
        </w:tc>
        <w:tc>
          <w:tcPr>
            <w:tcW w:type="dxa" w:w="2163"/>
          </w:tcPr>
          <w:p>
            <w:pPr>
              <w:spacing w:before="20" w:after="20"/>
            </w:pPr>
            <w:r/>
            <w:r>
              <w:rPr>
                <w:rFonts w:ascii="Verdana" w:hAnsi="Verdana"/>
                <w:b w:val="0"/>
                <w:sz w:val="16"/>
              </w:rPr>
              <w:t>Correction finale de l'erreur instrumentale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0 25 162</w:t>
            </w:r>
          </w:p>
        </w:tc>
        <w:tc>
          <w:tcPr>
            <w:tcW w:type="dxa" w:w="2163"/>
          </w:tcPr>
          <w:p>
            <w:pPr>
              <w:spacing w:before="20" w:after="20"/>
            </w:pPr>
            <w:r/>
            <w:r>
              <w:rPr>
                <w:rFonts w:ascii="Verdana" w:hAnsi="Verdana"/>
                <w:b w:val="0"/>
                <w:sz w:val="16"/>
              </w:rPr>
              <w:t>Correction du biais d'état de la mer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0 22 171</w:t>
            </w:r>
          </w:p>
        </w:tc>
        <w:tc>
          <w:tcPr>
            <w:tcW w:type="dxa" w:w="2163"/>
          </w:tcPr>
          <w:p>
            <w:pPr>
              <w:spacing w:before="20" w:after="20"/>
            </w:pPr>
            <w:r/>
            <w:r>
              <w:rPr>
                <w:rFonts w:ascii="Verdana" w:hAnsi="Verdana"/>
                <w:b w:val="0"/>
                <w:sz w:val="16"/>
              </w:rPr>
              <w:t>Hauteur significative des vagues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0 22 172</w:t>
            </w:r>
          </w:p>
        </w:tc>
        <w:tc>
          <w:tcPr>
            <w:tcW w:type="dxa" w:w="2163"/>
          </w:tcPr>
          <w:p>
            <w:pPr>
              <w:spacing w:before="20" w:after="20"/>
            </w:pPr>
            <w:r/>
            <w:r>
              <w:rPr>
                <w:rFonts w:ascii="Verdana" w:hAnsi="Verdana"/>
                <w:b w:val="0"/>
                <w:sz w:val="16"/>
              </w:rPr>
              <w:t>Moyenne quadratique de la hauteur significative des vagues à 20 Hz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0 22 173</w:t>
            </w:r>
          </w:p>
        </w:tc>
        <w:tc>
          <w:tcPr>
            <w:tcW w:type="dxa" w:w="2163"/>
          </w:tcPr>
          <w:p>
            <w:pPr>
              <w:spacing w:before="20" w:after="20"/>
            </w:pPr>
            <w:r/>
            <w:r>
              <w:rPr>
                <w:rFonts w:ascii="Verdana" w:hAnsi="Verdana"/>
                <w:b w:val="0"/>
                <w:sz w:val="16"/>
              </w:rPr>
              <w:t>Nombre de points corrects à 20 Hz pour la hauteur significative des vagues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0 22 174</w:t>
            </w:r>
          </w:p>
        </w:tc>
        <w:tc>
          <w:tcPr>
            <w:tcW w:type="dxa" w:w="2163"/>
          </w:tcPr>
          <w:p>
            <w:pPr>
              <w:spacing w:before="20" w:after="20"/>
            </w:pPr>
            <w:r/>
            <w:r>
              <w:rPr>
                <w:rFonts w:ascii="Verdana" w:hAnsi="Verdana"/>
                <w:b w:val="0"/>
                <w:sz w:val="16"/>
              </w:rPr>
              <w:t>Correction finale de l'erreur instrumentale pour la hauteur significative des vagues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0 21 170</w:t>
            </w:r>
          </w:p>
        </w:tc>
        <w:tc>
          <w:tcPr>
            <w:tcW w:type="dxa" w:w="2163"/>
          </w:tcPr>
          <w:p>
            <w:pPr>
              <w:spacing w:before="20" w:after="20"/>
            </w:pPr>
            <w:r/>
            <w:r>
              <w:rPr>
                <w:rFonts w:ascii="Verdana" w:hAnsi="Verdana"/>
                <w:b w:val="0"/>
                <w:sz w:val="16"/>
              </w:rPr>
              <w:t>Coefficient de rétrodiffusion corrigé pour l'océan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0 21 171</w:t>
            </w:r>
          </w:p>
        </w:tc>
        <w:tc>
          <w:tcPr>
            <w:tcW w:type="dxa" w:w="2163"/>
          </w:tcPr>
          <w:p>
            <w:pPr>
              <w:spacing w:before="20" w:after="20"/>
            </w:pPr>
            <w:r/>
            <w:r>
              <w:rPr>
                <w:rFonts w:ascii="Verdana" w:hAnsi="Verdana"/>
                <w:b w:val="0"/>
                <w:sz w:val="16"/>
              </w:rPr>
              <w:t>Moyenne quadratique du coefficient de rétrodiffusion corrigé pour l'océan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0 22 175</w:t>
            </w:r>
          </w:p>
        </w:tc>
        <w:tc>
          <w:tcPr>
            <w:tcW w:type="dxa" w:w="2163"/>
          </w:tcPr>
          <w:p>
            <w:pPr>
              <w:spacing w:before="20" w:after="20"/>
            </w:pPr>
            <w:r/>
            <w:r>
              <w:rPr>
                <w:rFonts w:ascii="Verdana" w:hAnsi="Verdana"/>
                <w:b w:val="0"/>
                <w:sz w:val="16"/>
              </w:rPr>
              <w:t>Nombre de points corrects de rétrodiffusion en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0 21 172</w:t>
            </w:r>
          </w:p>
        </w:tc>
        <w:tc>
          <w:tcPr>
            <w:tcW w:type="dxa" w:w="2163"/>
          </w:tcPr>
          <w:p>
            <w:pPr>
              <w:spacing w:before="20" w:after="20"/>
            </w:pPr>
            <w:r/>
            <w:r>
              <w:rPr>
                <w:rFonts w:ascii="Verdana" w:hAnsi="Verdana"/>
                <w:b w:val="0"/>
                <w:sz w:val="16"/>
              </w:rPr>
              <w:t>Correction finale de l'erreur instrumentale pour la 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Correction d'atténuation sur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0 21 173</w:t>
            </w:r>
          </w:p>
        </w:tc>
        <w:tc>
          <w:tcPr>
            <w:tcW w:type="dxa" w:w="2163"/>
          </w:tcPr>
          <w:p>
            <w:pPr>
              <w:spacing w:before="20" w:after="20"/>
            </w:pPr>
            <w:r/>
            <w:r>
              <w:rPr>
                <w:rFonts w:ascii="Verdana" w:hAnsi="Verdana"/>
                <w:b w:val="0"/>
                <w:sz w:val="16"/>
              </w:rPr>
              <w:t>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0 21 174</w:t>
            </w:r>
          </w:p>
        </w:tc>
        <w:tc>
          <w:tcPr>
            <w:tcW w:type="dxa" w:w="2163"/>
          </w:tcPr>
          <w:p>
            <w:pPr>
              <w:spacing w:before="20" w:after="20"/>
            </w:pPr>
            <w:r/>
            <w:r>
              <w:rPr>
                <w:rFonts w:ascii="Verdana" w:hAnsi="Verdana"/>
                <w:b w:val="0"/>
                <w:sz w:val="16"/>
              </w:rPr>
              <w:t>Moyenne quadratique de la 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Altimètre : bande C</w:t>
            </w:r>
          </w:p>
        </w:tc>
        <w:tc>
          <w:tcPr>
            <w:tcW w:type="dxa" w:w="2163"/>
          </w:tcPr>
          <w:p>
            <w:pPr>
              <w:spacing w:before="20" w:after="20"/>
            </w:pPr>
            <w:r/>
            <w:r>
              <w:rPr>
                <w:rFonts w:ascii="Verdana" w:hAnsi="Verdana"/>
                <w:b w:val="0"/>
                <w:sz w:val="16"/>
              </w:rPr>
              <w:t>0 21 175</w:t>
            </w:r>
          </w:p>
        </w:tc>
        <w:tc>
          <w:tcPr>
            <w:tcW w:type="dxa" w:w="2163"/>
          </w:tcPr>
          <w:p>
            <w:pPr>
              <w:spacing w:before="20" w:after="20"/>
            </w:pPr>
            <w:r/>
            <w:r>
              <w:rPr>
                <w:rFonts w:ascii="Verdana" w:hAnsi="Verdana"/>
                <w:b w:val="0"/>
                <w:sz w:val="16"/>
              </w:rPr>
              <w:t>Nombre de points corrects pour la commande automatique de gain dans la bande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Teneur en vapeur d'eau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Radiomètre</w:t>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Teneur en eau liquide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Vitesse du vent indiquée par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Vitesse du vent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Vent</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Topographie dynamique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du centre de gravité au-dessus de l'ellipsoïde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Taux de variation d'altitude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Carré de l'angle de décalage du satellite par rapport au nadir, calculé à partir de l'assiette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Carré de l'angle de décalage du satellite par rapport au nadir, calculé à partir de la forme des 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Correction ionosphérique - modèle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Correction ionosphérique de l'altimètre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Correction de troposphère sèche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Correction de troposphère humide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Correction de troposphère humide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Hauteur moyenne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0 10 097</w:t>
            </w:r>
          </w:p>
        </w:tc>
        <w:tc>
          <w:tcPr>
            <w:tcW w:type="dxa" w:w="2163"/>
          </w:tcPr>
          <w:p>
            <w:pPr>
              <w:spacing w:before="20" w:after="20"/>
            </w:pPr>
            <w:r/>
            <w:r>
              <w:rPr>
                <w:rFonts w:ascii="Verdana" w:hAnsi="Verdana"/>
                <w:b w:val="0"/>
                <w:sz w:val="16"/>
              </w:rPr>
              <w:t>Hauteur moyenne de la surface de la mer fournie par l'altimètre seulement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Hauteur du géoïde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Profondeur de l'océan ou altitude des terres émergées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Hauteur de marée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Hauteur géocentrique totale de marée océanique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Hauteur géocentrique totale de marée océanique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Hauteur de la marée de charge pour le calcul de la marée géocentrique -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Hauteur de la marée de charge pour le calcul de la marée géocentrique -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Hauteur de marée pour une période prolongée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Hauteur de marée pour une période prolongée hors d'équilibre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Hauteur géocentrique de marée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Correction de baromètre inverse</w:t>
            </w:r>
          </w:p>
        </w:tc>
        <w:tc>
          <w:tcPr>
            <w:tcW w:type="dxa" w:w="2163"/>
          </w:tcPr>
          <w:p>
            <w:pPr>
              <w:spacing w:before="20" w:after="20"/>
            </w:pPr>
            <w:r/>
            <w:r>
              <w:rPr>
                <w:rFonts w:ascii="Verdana" w:hAnsi="Verdana"/>
                <w:b w:val="0"/>
                <w:sz w:val="16"/>
              </w:rPr>
              <w:t>Correction de la hauteur de la surface de la mer due à une charge barométrique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Fluctuations haute fréquence de la correction topographique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Topographie dynamique</w:t>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Anomalie de hauteur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3 40 011</w:t>
            </w:r>
          </w:p>
        </w:tc>
        <w:tc>
          <w:tcPr>
            <w:tcW w:type="dxa" w:w="2163"/>
          </w:tcPr>
          <w:p>
            <w:pPr>
              <w:spacing w:before="20" w:after="20"/>
            </w:pPr>
            <w:r>
              <w:rPr>
                <w:b/>
              </w:rPr>
            </w:r>
            <w:r>
              <w:rPr>
                <w:rFonts w:ascii="Verdana" w:hAnsi="Verdana"/>
                <w:b/>
                <w:sz w:val="16"/>
              </w:rPr>
              <w:t>(SARAL Altika)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Numéro de cycle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Indicatif du modèle numérique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Type de surface détecté par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Indicateur d'interpolation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Erreur tridimensionnelle estimative de l'orbite du navigateur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Indicateur de qualité des données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Indicateur de qualité de la correction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0 21 148</w:t>
            </w:r>
          </w:p>
        </w:tc>
        <w:tc>
          <w:tcPr>
            <w:tcW w:type="dxa" w:w="2163"/>
          </w:tcPr>
          <w:p>
            <w:pPr>
              <w:spacing w:before="20" w:after="20"/>
            </w:pPr>
            <w:r/>
            <w:r>
              <w:rPr>
                <w:rFonts w:ascii="Verdana" w:hAnsi="Verdana"/>
                <w:b w:val="0"/>
                <w:sz w:val="16"/>
              </w:rPr>
              <w:t>Indicateur de variation du front arrière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Indicateur de présence de 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Existence de cartes météorologiques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0 40 025</w:t>
            </w:r>
          </w:p>
        </w:tc>
        <w:tc>
          <w:tcPr>
            <w:tcW w:type="dxa" w:w="2163"/>
          </w:tcPr>
          <w:p>
            <w:pPr>
              <w:spacing w:before="20" w:after="20"/>
            </w:pPr>
            <w:r/>
            <w:r>
              <w:rPr>
                <w:rFonts w:ascii="Verdana" w:hAnsi="Verdana"/>
                <w:b w:val="0"/>
                <w:sz w:val="16"/>
              </w:rPr>
              <w:t>Indicateur d'interpolation pour la marée diurne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Moyenne quadratique de l'intervalle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Nombre de points corrects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Correction finale de l'erreur instrumentale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Correction du biais d'état de la mer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Moyenne quadratique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Nombre de points corrects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Correction finale de l'erreur instrumentale pour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Coefficient de rétrodiffusion corrigé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Coefficient de rétrodiffusion corrigé type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Nombre de points corrects pour la rétrodiffusion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Correction finale de l'erreur instrumentale pour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Correction d'atténuation sur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Moyenne quadratique de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Nombre de points corrects pour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Teneur en vapeur d'eau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0 13 160</w:t>
            </w:r>
          </w:p>
        </w:tc>
        <w:tc>
          <w:tcPr>
            <w:tcW w:type="dxa" w:w="2163"/>
          </w:tcPr>
          <w:p>
            <w:pPr>
              <w:spacing w:before="20" w:after="20"/>
            </w:pPr>
            <w:r/>
            <w:r>
              <w:rPr>
                <w:rFonts w:ascii="Verdana" w:hAnsi="Verdana"/>
                <w:b w:val="0"/>
                <w:sz w:val="16"/>
              </w:rPr>
              <w:t>Teneur en eau liquide fournie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Vitesse du vent indiquée par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Topographie dynamique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du centre de gravité au-dessus de l'ellipsoïde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Taux de variation d'altitude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Carré de l'angle de décalage du satellite par rapport au nadir, calculé à partir de l'assiette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Carré de l'angle de décalage du satellite par rapport au nadir, calculé à partir de la forme des 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Correction ionosphérique - modèle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Correction de troposphère sèche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Correction de troposphère humide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Correction de troposphère humide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Hauteur moyenne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Hauteur du géoïde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Profondeur de l'océan ou altitude des terres émergées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Hauteur de marée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Hauteur géocentrique totale de marée océanique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Hauteur géocentrique totale de marée océanique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Hauteur de la marée de charge pour le calcul de la marée géocentrique -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Hauteur de la marée de charge pour le calcul de la marée géocentrique -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Hauteur de marée pour une période prolongée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Hauteur de marée pour une période prolongée hors d'équilibre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Hauteur géocentrique de marée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Correction de baromètre inverse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Fluctuations haute fréquence de la correction topographique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Anomalie de hauteur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3 40 012</w:t>
            </w:r>
          </w:p>
        </w:tc>
        <w:tc>
          <w:tcPr>
            <w:tcW w:type="dxa" w:w="2163"/>
          </w:tcPr>
          <w:p>
            <w:pPr>
              <w:spacing w:before="20" w:after="20"/>
            </w:pPr>
            <w:r>
              <w:rPr>
                <w:b/>
              </w:rPr>
            </w:r>
            <w:r>
              <w:rPr>
                <w:rFonts w:ascii="Verdana" w:hAnsi="Verdana"/>
                <w:b/>
                <w:sz w:val="16"/>
              </w:rPr>
              <w:t>(Imageur hyperfréquence des précipitations à l'échelle du globe (GMI))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0 Coordonnées du satellite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Roulis de l'engin spatial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Tangage de l'engin spatial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Lacet de l'engin spatial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0 05 067</w:t>
            </w:r>
          </w:p>
        </w:tc>
        <w:tc>
          <w:tcPr>
            <w:tcW w:type="dxa" w:w="2163"/>
          </w:tcPr>
          <w:p>
            <w:pPr>
              <w:spacing w:before="20" w:after="20"/>
            </w:pPr>
            <w:r/>
            <w:r>
              <w:rPr>
                <w:rFonts w:ascii="Verdana" w:hAnsi="Verdana"/>
                <w:b w:val="0"/>
                <w:sz w:val="16"/>
              </w:rPr>
              <w:t>Nombre de lignes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1 Coordonnées des observations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Répétition différée de 7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0 40 028</w:t>
            </w:r>
          </w:p>
        </w:tc>
        <w:tc>
          <w:tcPr>
            <w:tcW w:type="dxa" w:w="2163"/>
          </w:tcPr>
          <w:p>
            <w:pPr>
              <w:spacing w:before="20" w:after="20"/>
            </w:pPr>
            <w:r/>
            <w:r>
              <w:rPr>
                <w:rFonts w:ascii="Verdana" w:hAnsi="Verdana"/>
                <w:b w:val="0"/>
                <w:sz w:val="16"/>
              </w:rPr>
              <w:t>Indicateur de qualité des données du GMI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0 40 027</w:t>
            </w:r>
          </w:p>
        </w:tc>
        <w:tc>
          <w:tcPr>
            <w:tcW w:type="dxa" w:w="2163"/>
          </w:tcPr>
          <w:p>
            <w:pPr>
              <w:spacing w:before="20" w:after="20"/>
            </w:pPr>
            <w:r/>
            <w:r>
              <w:rPr>
                <w:rFonts w:ascii="Verdana" w:hAnsi="Verdana"/>
                <w:b w:val="0"/>
                <w:sz w:val="16"/>
              </w:rPr>
              <w:t>Angle du reflet solaire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3 40 013</w:t>
            </w:r>
          </w:p>
        </w:tc>
        <w:tc>
          <w:tcPr>
            <w:tcW w:type="dxa" w:w="2163"/>
          </w:tcPr>
          <w:p>
            <w:pPr>
              <w:spacing w:before="20" w:after="20"/>
            </w:pPr>
            <w:r>
              <w:rPr>
                <w:b/>
              </w:rPr>
            </w:r>
            <w:r>
              <w:rPr>
                <w:rFonts w:ascii="Verdana" w:hAnsi="Verdana"/>
                <w:b/>
                <w:sz w:val="16"/>
              </w:rPr>
              <w:t>(Données de niveau L2b de l'instrument laser à effet Doppler pour l'étude de l'atmosphère (ALADIN))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0 05 068</w:t>
            </w:r>
          </w:p>
        </w:tc>
        <w:tc>
          <w:tcPr>
            <w:tcW w:type="dxa" w:w="2163"/>
          </w:tcPr>
          <w:p>
            <w:pPr>
              <w:spacing w:before="20" w:after="20"/>
            </w:pPr>
            <w:r/>
            <w:r>
              <w:rPr>
                <w:rFonts w:ascii="Verdana" w:hAnsi="Verdana"/>
                <w:b w:val="0"/>
                <w:sz w:val="16"/>
              </w:rPr>
              <w:t>Numéro de profil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0 05 070</w:t>
            </w:r>
          </w:p>
        </w:tc>
        <w:tc>
          <w:tcPr>
            <w:tcW w:type="dxa" w:w="2163"/>
          </w:tcPr>
          <w:p>
            <w:pPr>
              <w:spacing w:before="20" w:after="20"/>
            </w:pPr>
            <w:r/>
            <w:r>
              <w:rPr>
                <w:rFonts w:ascii="Verdana" w:hAnsi="Verdana"/>
                <w:b w:val="0"/>
                <w:sz w:val="16"/>
              </w:rPr>
              <w:t>Identifiant de l'observation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0 05 069</w:t>
            </w:r>
          </w:p>
        </w:tc>
        <w:tc>
          <w:tcPr>
            <w:tcW w:type="dxa" w:w="2163"/>
          </w:tcPr>
          <w:p>
            <w:pPr>
              <w:spacing w:before="20" w:after="20"/>
            </w:pPr>
            <w:r/>
            <w:r>
              <w:rPr>
                <w:rFonts w:ascii="Verdana" w:hAnsi="Verdana"/>
                <w:b w:val="0"/>
                <w:sz w:val="16"/>
              </w:rPr>
              <w:t>Canal de réception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0 40 036</w:t>
            </w:r>
          </w:p>
        </w:tc>
        <w:tc>
          <w:tcPr>
            <w:tcW w:type="dxa" w:w="2163"/>
          </w:tcPr>
          <w:p>
            <w:pPr>
              <w:spacing w:before="20" w:after="20"/>
            </w:pPr>
            <w:r/>
            <w:r>
              <w:rPr>
                <w:rFonts w:ascii="Verdana" w:hAnsi="Verdana"/>
                <w:b w:val="0"/>
                <w:sz w:val="16"/>
              </w:rPr>
              <w:t>Type de classification des produits Lidar de niveau L2b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2 Début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3 Fin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4 Centre de gravité de l'observation sur l'axe horizontal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6 Sommet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Hauteur (haute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Distance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7 Base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Hauteur (haute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Distance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Caractéristique des coordonnées</w:t>
            </w:r>
          </w:p>
        </w:tc>
        <w:tc>
          <w:tcPr>
            <w:tcW w:type="dxa" w:w="2163"/>
          </w:tcPr>
          <w:p>
            <w:pPr>
              <w:spacing w:before="20" w:after="20"/>
            </w:pPr>
            <w:r/>
            <w:r>
              <w:rPr>
                <w:rFonts w:ascii="Verdana" w:hAnsi="Verdana"/>
                <w:b w:val="0"/>
                <w:sz w:val="16"/>
              </w:rPr>
              <w:t>= 5 Centre de gravité de l'observation sur l'axe vertical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Hauteur (haute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Distance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0 40 029</w:t>
            </w:r>
          </w:p>
        </w:tc>
        <w:tc>
          <w:tcPr>
            <w:tcW w:type="dxa" w:w="2163"/>
          </w:tcPr>
          <w:p>
            <w:pPr>
              <w:spacing w:before="20" w:after="20"/>
            </w:pPr>
            <w:r/>
            <w:r>
              <w:rPr>
                <w:rFonts w:ascii="Verdana" w:hAnsi="Verdana"/>
                <w:b w:val="0"/>
                <w:sz w:val="16"/>
              </w:rPr>
              <w:t>Longueur d'intégration horizontale des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0 40 030</w:t>
            </w:r>
          </w:p>
        </w:tc>
        <w:tc>
          <w:tcPr>
            <w:tcW w:type="dxa" w:w="2163"/>
          </w:tcPr>
          <w:p>
            <w:pPr>
              <w:spacing w:before="20" w:after="20"/>
            </w:pPr>
            <w:r/>
            <w:r>
              <w:rPr>
                <w:rFonts w:ascii="Verdana" w:hAnsi="Verdana"/>
                <w:b w:val="0"/>
                <w:sz w:val="16"/>
              </w:rPr>
              <w:t>Vent horizontal dans l'axe de visée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0 40 031</w:t>
            </w:r>
          </w:p>
        </w:tc>
        <w:tc>
          <w:tcPr>
            <w:tcW w:type="dxa" w:w="2163"/>
          </w:tcPr>
          <w:p>
            <w:pPr>
              <w:spacing w:before="20" w:after="20"/>
            </w:pPr>
            <w:r/>
            <w:r>
              <w:rPr>
                <w:rFonts w:ascii="Verdana" w:hAnsi="Verdana"/>
                <w:b w:val="0"/>
                <w:sz w:val="16"/>
              </w:rPr>
              <w:t>Estimation des erreurs relatives au vent horizontal dans l'axe de visée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0 25 187</w:t>
            </w:r>
          </w:p>
        </w:tc>
        <w:tc>
          <w:tcPr>
            <w:tcW w:type="dxa" w:w="2163"/>
          </w:tcPr>
          <w:p>
            <w:pPr>
              <w:spacing w:before="20" w:after="20"/>
            </w:pPr>
            <w:r/>
            <w:r>
              <w:rPr>
                <w:rFonts w:ascii="Verdana" w:hAnsi="Verdana"/>
                <w:b w:val="0"/>
                <w:sz w:val="16"/>
              </w:rPr>
              <w:t>Indicateur de confiance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0 40 037</w:t>
            </w:r>
          </w:p>
        </w:tc>
        <w:tc>
          <w:tcPr>
            <w:tcW w:type="dxa" w:w="2163"/>
          </w:tcPr>
          <w:p>
            <w:pPr>
              <w:spacing w:before="20" w:after="20"/>
            </w:pPr>
            <w:r/>
            <w:r>
              <w:rPr>
                <w:rFonts w:ascii="Verdana" w:hAnsi="Verdana"/>
                <w:b w:val="0"/>
                <w:sz w:val="16"/>
              </w:rPr>
              <w:t>Coefficient de rétrodiffusion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0 40 032</w:t>
            </w:r>
          </w:p>
        </w:tc>
        <w:tc>
          <w:tcPr>
            <w:tcW w:type="dxa" w:w="2163"/>
          </w:tcPr>
          <w:p>
            <w:pPr>
              <w:spacing w:before="20" w:after="20"/>
            </w:pPr>
            <w:r/>
            <w:r>
              <w:rPr>
                <w:rFonts w:ascii="Verdana" w:hAnsi="Verdana"/>
                <w:b w:val="0"/>
                <w:sz w:val="16"/>
              </w:rPr>
              <w:t>Dérivée du vent par rapport à la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0 40 033</w:t>
            </w:r>
          </w:p>
        </w:tc>
        <w:tc>
          <w:tcPr>
            <w:tcW w:type="dxa" w:w="2163"/>
          </w:tcPr>
          <w:p>
            <w:pPr>
              <w:spacing w:before="20" w:after="20"/>
            </w:pPr>
            <w:r/>
            <w:r>
              <w:rPr>
                <w:rFonts w:ascii="Verdana" w:hAnsi="Verdana"/>
                <w:b w:val="0"/>
                <w:sz w:val="16"/>
              </w:rPr>
              <w:t>Dérivée du vent par rapport à la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0 40 034</w:t>
            </w:r>
          </w:p>
        </w:tc>
        <w:tc>
          <w:tcPr>
            <w:tcW w:type="dxa" w:w="2163"/>
          </w:tcPr>
          <w:p>
            <w:pPr>
              <w:spacing w:before="20" w:after="20"/>
            </w:pPr>
            <w:r/>
            <w:r>
              <w:rPr>
                <w:rFonts w:ascii="Verdana" w:hAnsi="Verdana"/>
                <w:b w:val="0"/>
                <w:sz w:val="16"/>
              </w:rPr>
              <w:t>Dérivée du vent par rapport au coefficient de rétrodiffusion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3 40 015</w:t>
            </w:r>
          </w:p>
        </w:tc>
        <w:tc>
          <w:tcPr>
            <w:tcW w:type="dxa" w:w="2163"/>
          </w:tcPr>
          <w:p>
            <w:pPr>
              <w:spacing w:before="20" w:after="20"/>
            </w:pPr>
            <w:r>
              <w:rPr>
                <w:b/>
              </w:rPr>
            </w:r>
            <w:r>
              <w:rPr>
                <w:rFonts w:ascii="Verdana" w:hAnsi="Verdana"/>
                <w:b/>
                <w:sz w:val="16"/>
              </w:rPr>
              <w:t>(Données sur les précipitations - mesure des précipitations à l'échelle du globe (GPM))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Annuler l'augmentation du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0 40 027</w:t>
            </w:r>
          </w:p>
        </w:tc>
        <w:tc>
          <w:tcPr>
            <w:tcW w:type="dxa" w:w="2163"/>
          </w:tcPr>
          <w:p>
            <w:pPr>
              <w:spacing w:before="20" w:after="20"/>
            </w:pPr>
            <w:r/>
            <w:r>
              <w:rPr>
                <w:rFonts w:ascii="Verdana" w:hAnsi="Verdana"/>
                <w:b w:val="0"/>
                <w:sz w:val="16"/>
              </w:rPr>
              <w:t>Angle du reflet solaire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0 13 040</w:t>
            </w:r>
          </w:p>
        </w:tc>
        <w:tc>
          <w:tcPr>
            <w:tcW w:type="dxa" w:w="2163"/>
          </w:tcPr>
          <w:p>
            <w:pPr>
              <w:spacing w:before="20" w:after="20"/>
            </w:pPr>
            <w:r/>
            <w:r>
              <w:rPr>
                <w:rFonts w:ascii="Verdana" w:hAnsi="Verdana"/>
                <w:b w:val="0"/>
                <w:sz w:val="16"/>
              </w:rPr>
              <w:t>Indicateur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0 21 120</w:t>
            </w:r>
          </w:p>
        </w:tc>
        <w:tc>
          <w:tcPr>
            <w:tcW w:type="dxa" w:w="2163"/>
          </w:tcPr>
          <w:p>
            <w:pPr>
              <w:spacing w:before="20" w:after="20"/>
            </w:pPr>
            <w:r/>
            <w:r>
              <w:rPr>
                <w:rFonts w:ascii="Verdana" w:hAnsi="Verdana"/>
                <w:b w:val="0"/>
                <w:sz w:val="16"/>
              </w:rPr>
              <w:t>Probabilité de pluie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Augmenter l'échelle, la valeur de référence et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Répéter 2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0 02 186</w:t>
            </w:r>
          </w:p>
        </w:tc>
        <w:tc>
          <w:tcPr>
            <w:tcW w:type="dxa" w:w="2163"/>
          </w:tcPr>
          <w:p>
            <w:pPr>
              <w:spacing w:before="20" w:after="20"/>
            </w:pPr>
            <w:r/>
            <w:r>
              <w:rPr>
                <w:rFonts w:ascii="Verdana" w:hAnsi="Verdana"/>
                <w:b w:val="0"/>
                <w:sz w:val="16"/>
              </w:rPr>
              <w:t>Détection des divers types de précipitations</w:t>
            </w:r>
          </w:p>
        </w:tc>
        <w:tc>
          <w:tcPr>
            <w:tcW w:type="dxa" w:w="2163"/>
          </w:tcPr>
          <w:p>
            <w:pPr>
              <w:spacing w:before="20" w:after="20"/>
            </w:pPr>
            <w:r/>
            <w:r>
              <w:rPr>
                <w:rFonts w:ascii="Verdana" w:hAnsi="Verdana"/>
                <w:b w:val="0"/>
                <w:sz w:val="16"/>
              </w:rPr>
              <w:t>Première répétition bit N° 1 mis à 1 = inconnu/non précisé (précipitations totales); deuxième répétition bit N° 6 mis à 1 = précipitations solides; troisième répétition bit N° 24 mis à 1 = précipitations convectives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0 13 155</w:t>
            </w:r>
          </w:p>
        </w:tc>
        <w:tc>
          <w:tcPr>
            <w:tcW w:type="dxa" w:w="2163"/>
          </w:tcPr>
          <w:p>
            <w:pPr>
              <w:spacing w:before="20" w:after="20"/>
            </w:pPr>
            <w:r/>
            <w:r>
              <w:rPr>
                <w:rFonts w:ascii="Verdana" w:hAnsi="Verdana"/>
                <w:b w:val="0"/>
                <w:sz w:val="16"/>
              </w:rPr>
              <w:t>Intensité des précipitations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Augmentation de l'échelle, de la valeur de référence et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Informations sur la qualité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3 40 016</w:t>
            </w:r>
          </w:p>
        </w:tc>
        <w:tc>
          <w:tcPr>
            <w:tcW w:type="dxa" w:w="2163"/>
          </w:tcPr>
          <w:p>
            <w:pPr>
              <w:spacing w:before="20" w:after="20"/>
            </w:pPr>
            <w:r>
              <w:rPr>
                <w:b/>
              </w:rPr>
            </w:r>
            <w:r>
              <w:rPr>
                <w:rFonts w:ascii="Verdana" w:hAnsi="Verdana"/>
                <w:b/>
                <w:sz w:val="16"/>
              </w:rPr>
              <w:t>(Scores des composantes principales, sélection des canaux et données améliorées recueillies sur une plate-forme géostationnaire)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3 01 129</w:t>
            </w:r>
          </w:p>
        </w:tc>
        <w:tc>
          <w:tcPr>
            <w:tcW w:type="dxa" w:w="2163"/>
          </w:tcPr>
          <w:p>
            <w:pPr>
              <w:spacing w:before="20" w:after="20"/>
            </w:pPr>
            <w:r/>
            <w:r>
              <w:rPr>
                <w:rFonts w:ascii="Verdana" w:hAnsi="Verdana"/>
                <w:b w:val="0"/>
                <w:sz w:val="16"/>
              </w:rPr>
              <w:t>Satellite et instruments d'observation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3 01 130</w:t>
            </w:r>
          </w:p>
        </w:tc>
        <w:tc>
          <w:tcPr>
            <w:tcW w:type="dxa" w:w="2163"/>
          </w:tcPr>
          <w:p>
            <w:pPr>
              <w:spacing w:before="20" w:after="20"/>
            </w:pPr>
            <w:r/>
            <w:r>
              <w:rPr>
                <w:rFonts w:ascii="Verdana" w:hAnsi="Verdana"/>
                <w:b w:val="0"/>
                <w:sz w:val="16"/>
              </w:rPr>
              <w:t>Référence temporelle de grande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3 01 131</w:t>
            </w:r>
          </w:p>
        </w:tc>
        <w:tc>
          <w:tcPr>
            <w:tcW w:type="dxa" w:w="2163"/>
          </w:tcPr>
          <w:p>
            <w:pPr>
              <w:spacing w:before="20" w:after="20"/>
            </w:pPr>
            <w:r/>
            <w:r>
              <w:rPr>
                <w:rFonts w:ascii="Verdana" w:hAnsi="Verdana"/>
                <w:b w:val="0"/>
                <w:sz w:val="16"/>
              </w:rPr>
              <w:t>Localisation géographique des pixels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2 02 134</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Ajouter 6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Description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3 04 039</w:t>
            </w:r>
          </w:p>
        </w:tc>
        <w:tc>
          <w:tcPr>
            <w:tcW w:type="dxa" w:w="2163"/>
          </w:tcPr>
          <w:p>
            <w:pPr>
              <w:spacing w:before="20" w:after="20"/>
            </w:pPr>
            <w:r/>
            <w:r>
              <w:rPr>
                <w:rFonts w:ascii="Verdana" w:hAnsi="Verdana"/>
                <w:b w:val="0"/>
                <w:sz w:val="16"/>
              </w:rPr>
              <w:t>Radiance dans le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3 04 040</w:t>
            </w:r>
          </w:p>
        </w:tc>
        <w:tc>
          <w:tcPr>
            <w:tcW w:type="dxa" w:w="2163"/>
          </w:tcPr>
          <w:p>
            <w:pPr>
              <w:spacing w:before="20" w:after="20"/>
            </w:pPr>
            <w:r/>
            <w:r>
              <w:rPr>
                <w:rFonts w:ascii="Verdana" w:hAnsi="Verdana"/>
                <w:b w:val="0"/>
                <w:sz w:val="16"/>
              </w:rPr>
              <w:t>Score des composantes principales dans la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3 40 017</w:t>
            </w:r>
          </w:p>
        </w:tc>
        <w:tc>
          <w:tcPr>
            <w:tcW w:type="dxa" w:w="2163"/>
          </w:tcPr>
          <w:p>
            <w:pPr>
              <w:spacing w:before="20" w:after="20"/>
            </w:pPr>
            <w:r>
              <w:rPr>
                <w:b/>
              </w:rPr>
            </w:r>
            <w:r>
              <w:rPr>
                <w:rFonts w:ascii="Verdana" w:hAnsi="Verdana"/>
                <w:b/>
                <w:sz w:val="16"/>
              </w:rPr>
              <w:t>(Produit hydrologique de niveau 2 du satellite Sentinel-3 (S3))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t>= 61 Sentinel 3A ou = 65 Sentinel 3B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t>178 (SRAL)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Numéro de cycle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Indicatif du centre de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0 25 182</w:t>
            </w:r>
          </w:p>
        </w:tc>
        <w:tc>
          <w:tcPr>
            <w:tcW w:type="dxa" w:w="2163"/>
          </w:tcPr>
          <w:p>
            <w:pPr>
              <w:spacing w:before="20" w:after="20"/>
            </w:pPr>
            <w:r/>
            <w:r>
              <w:rPr>
                <w:rFonts w:ascii="Verdana" w:hAnsi="Verdana"/>
                <w:b w:val="0"/>
                <w:sz w:val="16"/>
              </w:rPr>
              <w:t>Indicateur de traitement de niveau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0 25 183</w:t>
            </w:r>
          </w:p>
        </w:tc>
        <w:tc>
          <w:tcPr>
            <w:tcW w:type="dxa" w:w="2163"/>
          </w:tcPr>
          <w:p>
            <w:pPr>
              <w:spacing w:before="20" w:after="20"/>
            </w:pPr>
            <w:r/>
            <w:r>
              <w:rPr>
                <w:rFonts w:ascii="Verdana" w:hAnsi="Verdana"/>
                <w:b w:val="0"/>
                <w:sz w:val="16"/>
              </w:rPr>
              <w:t>Qualité du traitement de niveau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0 25 181</w:t>
            </w:r>
          </w:p>
        </w:tc>
        <w:tc>
          <w:tcPr>
            <w:tcW w:type="dxa" w:w="2163"/>
          </w:tcPr>
          <w:p>
            <w:pPr>
              <w:spacing w:before="20" w:after="20"/>
            </w:pPr>
            <w:r/>
            <w:r>
              <w:rPr>
                <w:rFonts w:ascii="Verdana" w:hAnsi="Verdana"/>
                <w:b w:val="0"/>
                <w:sz w:val="16"/>
              </w:rPr>
              <w:t>Indicateur de traitement de niveau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0 25 184</w:t>
            </w:r>
          </w:p>
        </w:tc>
        <w:tc>
          <w:tcPr>
            <w:tcW w:type="dxa" w:w="2163"/>
          </w:tcPr>
          <w:p>
            <w:pPr>
              <w:spacing w:before="20" w:after="20"/>
            </w:pPr>
            <w:r/>
            <w:r>
              <w:rPr>
                <w:rFonts w:ascii="Verdana" w:hAnsi="Verdana"/>
                <w:b w:val="0"/>
                <w:sz w:val="16"/>
              </w:rPr>
              <w:t>Catégorie de produit de niveau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Roulis de l'engin spatial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Tangage de l'engin spatial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Lacet de l'engin spatial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du centre de gravité au-dessus de l'ellipsoïde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Taux de variation d'altitude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0 25 090</w:t>
            </w:r>
          </w:p>
        </w:tc>
        <w:tc>
          <w:tcPr>
            <w:tcW w:type="dxa" w:w="2163"/>
          </w:tcPr>
          <w:p>
            <w:pPr>
              <w:spacing w:before="20" w:after="20"/>
            </w:pPr>
            <w:r/>
            <w:r>
              <w:rPr>
                <w:rFonts w:ascii="Verdana" w:hAnsi="Verdana"/>
                <w:b w:val="0"/>
                <w:sz w:val="16"/>
              </w:rPr>
              <w:t>Indicateur de l'état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 de 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Augmenter l'échelle de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Profondeur de l'océan ou altitude des terres émergées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Indicateur de l'état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Indicateur de qualité des données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Type de surface détecté par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1 04 002</w:t>
            </w:r>
          </w:p>
        </w:tc>
        <w:tc>
          <w:tcPr>
            <w:tcW w:type="dxa" w:w="2163"/>
          </w:tcPr>
          <w:p>
            <w:pPr>
              <w:spacing w:before="20" w:after="20"/>
            </w:pPr>
            <w:r/>
            <w:r>
              <w:rPr>
                <w:rFonts w:ascii="Verdana" w:hAnsi="Verdana"/>
                <w:b w:val="0"/>
                <w:sz w:val="16"/>
              </w:rPr>
              <w:t>Répéter 4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Fréquence centrale du canal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0 12 065</w:t>
            </w:r>
          </w:p>
        </w:tc>
        <w:tc>
          <w:tcPr>
            <w:tcW w:type="dxa" w:w="2163"/>
          </w:tcPr>
          <w:p>
            <w:pPr>
              <w:spacing w:before="20" w:after="20"/>
            </w:pPr>
            <w:r/>
            <w:r>
              <w:rPr>
                <w:rFonts w:ascii="Verdana" w:hAnsi="Verdana"/>
                <w:b w:val="0"/>
                <w:sz w:val="16"/>
              </w:rPr>
              <w:t>Écart type de la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Indicateur d'interprétation de la température de luminance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Vitesse du vent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Teneur en vapeur d'eau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Teneur en eau liquide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Correction de troposphère humide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Indicateur de l'état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Indicateur de l'état de l'altimètre auxiliaire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Indicateur de qualité de la correction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Type d'écho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Mode de traitement d'écho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Indicateur de pluie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Mode de localisation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Atténuation par la pluie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Intensité des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Indicateur de présence de 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Carré de l'angle de décalage du satellite par rapport au nadir, calculé à partir de la forme des 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0 15 012</w:t>
            </w:r>
          </w:p>
        </w:tc>
        <w:tc>
          <w:tcPr>
            <w:tcW w:type="dxa" w:w="2163"/>
          </w:tcPr>
          <w:p>
            <w:pPr>
              <w:spacing w:before="20" w:after="20"/>
            </w:pPr>
            <w:r/>
            <w:r>
              <w:rPr>
                <w:rFonts w:ascii="Verdana" w:hAnsi="Verdana"/>
                <w:b w:val="0"/>
                <w:sz w:val="16"/>
              </w:rPr>
              <w:t>Nombre total d'électrons par mètre carré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Vitesse du vent indiquée par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Existence de cartes météorologiques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Correction de troposphère sèche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Correction de troposphère humide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Indicateur d'interpolation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Hauteur géocentrique totale de marée océanique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Hauteur géocentrique totale de marée océanique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Hauteur de marée pour une période prolongée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Hauteur de marée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Hauteur géocentrique de marée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Hauteur de la marée de charge pour le calcul de la marée géocentrique -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Hauteur de la marée de charge pour le calcul de la marée géocentrique -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Hauteur de marée pour une période prolongée hors d'équilibre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Correction de baromètre inverse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Fluctuations haute fréquence de la correction topographique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Hauteur moyenne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Hauteur du géoïde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Topographie dynamique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0 10 103</w:t>
            </w:r>
          </w:p>
        </w:tc>
        <w:tc>
          <w:tcPr>
            <w:tcW w:type="dxa" w:w="2163"/>
          </w:tcPr>
          <w:p>
            <w:pPr>
              <w:spacing w:before="20" w:after="20"/>
            </w:pPr>
            <w:r/>
            <w:r>
              <w:rPr>
                <w:rFonts w:ascii="Verdana" w:hAnsi="Verdana"/>
                <w:b w:val="0"/>
                <w:sz w:val="16"/>
              </w:rPr>
              <w:t>Précision de la topographie dynamique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Anomalie de hauteur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Fréquence centrale des bandes d'ondes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Moyenne quadratique de l'intervalle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Nombre de points corrects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Correction ionosphérique - modèle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Correction du biais d'état de la mer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Correction finale de l'erreur instrumentale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Coefficient de rétrodiffusion corrigé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Coefficient de rétrodiffusion corrigé type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Nombre de points corrects pour la rétrodiffusion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Correction d'atténuation sur sigma-0 (sur la base de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Moyenne quadratique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Nombre de points corrects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Correction finale de l'erreur instrumentale pour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Moyenne quadratique de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Nombre de points corrects pour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Correction finale de l'erreur instrumentale pour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Indicateur de qualité des données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Indicateur de qualité de la correction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Indicateur de qualité des données sur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Type de bande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Moyenne quadratique de l'intervalle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Nombre de points corrects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Correction ionosphérique - modèle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Correction du biais d'état de la mer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Correction finale de l'erreur instrumentale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Coefficient de rétrodiffusion corrigé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Coefficient de rétrodiffusion corrigé type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Nombre de points corrects pour la rétrodiffusion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Correction d'atténuation sur sigma-0 (sur la base de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Moyenne quadratique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Nombre de points corrects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Correction finale de l'erreur instrumentale pour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Moyenne quadratique de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Nombre de points corrects pour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Correction finale de l'erreur instrumentale pour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Indicateur de qualité des données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Indicateur de qualité de la correction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Indicateur de qualité des données sur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Mode de traitement de l'écho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Vitesse du vent indiquée par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Teneur en vapeur d'eau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Teneur en eau liquide indiquée par le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Atténuation par la pluie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Coefficient de rétrodiffusion corrigé type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Correction de troposphère humide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Correction ionosphérique de l'altimètre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Correction de troposphère humide du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Anomalie de hauteur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Moyenne quadratique de l'intervalle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Nombre de points corrects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Correction du biais d'état de la mer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Coefficient de rétrodiffusion corrigé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Coefficient de rétrodiffusion corrigé type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Nombre de points corrects pour la rétrodiffusion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Moyenne quadratique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Nombre de points corrects de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Indicateur de qualité des données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Indicateur de qualité de la correction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Indicateur de qualité des données sur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0 08 049</w:t>
            </w:r>
          </w:p>
        </w:tc>
        <w:tc>
          <w:tcPr>
            <w:tcW w:type="dxa" w:w="2163"/>
          </w:tcPr>
          <w:p>
            <w:pPr>
              <w:spacing w:before="20" w:after="20"/>
            </w:pPr>
            <w:r/>
            <w:r>
              <w:rPr>
                <w:rFonts w:ascii="Verdana" w:hAnsi="Verdana"/>
                <w:b w:val="0"/>
                <w:sz w:val="16"/>
              </w:rPr>
              <w:t>Nombre d'observations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Fréquence centrale des bandes d'ondes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1 34 021</w:t>
            </w:r>
          </w:p>
        </w:tc>
        <w:tc>
          <w:tcPr>
            <w:tcW w:type="dxa" w:w="2163"/>
          </w:tcPr>
          <w:p>
            <w:pPr>
              <w:spacing w:before="20" w:after="20"/>
            </w:pPr>
            <w:r/>
            <w:r>
              <w:rPr>
                <w:rFonts w:ascii="Verdana" w:hAnsi="Verdana"/>
                <w:b w:val="0"/>
                <w:sz w:val="16"/>
              </w:rPr>
              <w:t>Répéter 34 descripteurs 21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Secondes par minute (à la microseconde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du centre de gravité au-dessus de l'ellipsoïde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Taux de variation d'altitude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Type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9 bits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Ajouter 1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Mode de localisation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0 21 071</w:t>
            </w:r>
          </w:p>
        </w:tc>
        <w:tc>
          <w:tcPr>
            <w:tcW w:type="dxa" w:w="2163"/>
          </w:tcPr>
          <w:p>
            <w:pPr>
              <w:spacing w:before="20" w:after="20"/>
            </w:pPr>
            <w:r/>
            <w:r>
              <w:rPr>
                <w:rFonts w:ascii="Verdana" w:hAnsi="Verdana"/>
                <w:b w:val="0"/>
                <w:sz w:val="16"/>
              </w:rPr>
              <w:t>Maxima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Hauteur moyenne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Indicateur d'interpolation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Anomalie de hauteur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Intervalle océanique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0 22 146</w:t>
            </w:r>
          </w:p>
        </w:tc>
        <w:tc>
          <w:tcPr>
            <w:tcW w:type="dxa" w:w="2163"/>
          </w:tcPr>
          <w:p>
            <w:pPr>
              <w:spacing w:before="20" w:after="20"/>
            </w:pPr>
            <w:r/>
            <w:r>
              <w:rPr>
                <w:rFonts w:ascii="Verdana" w:hAnsi="Verdana"/>
                <w:b w:val="0"/>
                <w:sz w:val="16"/>
              </w:rPr>
              <w:t>Intervalle pour centre de gravité excentré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Correction ionosphérique - modèle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Correction finale de l'erreur instrumentale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Coefficient de rétrodiffusion corrigé pour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Correction finale de l'erreur instrumentale pour la hauteur significative des vagues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0 21 177</w:t>
            </w:r>
          </w:p>
        </w:tc>
        <w:tc>
          <w:tcPr>
            <w:tcW w:type="dxa" w:w="2163"/>
          </w:tcPr>
          <w:p>
            <w:pPr>
              <w:spacing w:before="20" w:after="20"/>
            </w:pPr>
            <w:r/>
            <w:r>
              <w:rPr>
                <w:rFonts w:ascii="Verdana" w:hAnsi="Verdana"/>
                <w:b w:val="0"/>
                <w:sz w:val="16"/>
              </w:rPr>
              <w:t>Coefficient de rétrodiffusion corrigé - centre de gravité excentré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Correction finale de l'erreur instrumentale pour la commande automatique de gain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0 13 164</w:t>
            </w:r>
          </w:p>
        </w:tc>
        <w:tc>
          <w:tcPr>
            <w:tcW w:type="dxa" w:w="2163"/>
          </w:tcPr>
          <w:p>
            <w:pPr>
              <w:spacing w:before="20" w:after="20"/>
            </w:pPr>
            <w:r/>
            <w:r>
              <w:rPr>
                <w:rFonts w:ascii="Verdana" w:hAnsi="Verdana"/>
                <w:b w:val="0"/>
                <w:sz w:val="16"/>
              </w:rPr>
              <w:t>Franc-bord pour les glaces de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Soustraire 2 bits de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0 22 046</w:t>
            </w:r>
          </w:p>
        </w:tc>
        <w:tc>
          <w:tcPr>
            <w:tcW w:type="dxa" w:w="2163"/>
          </w:tcPr>
          <w:p>
            <w:pPr>
              <w:spacing w:before="20" w:after="20"/>
            </w:pPr>
            <w:r/>
            <w:r>
              <w:rPr>
                <w:rFonts w:ascii="Verdana" w:hAnsi="Verdana"/>
                <w:b w:val="0"/>
                <w:sz w:val="16"/>
              </w:rPr>
              <w:t>Fraction de glace de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0 13 117</w:t>
            </w:r>
          </w:p>
        </w:tc>
        <w:tc>
          <w:tcPr>
            <w:tcW w:type="dxa" w:w="2163"/>
          </w:tcPr>
          <w:p>
            <w:pPr>
              <w:spacing w:before="20" w:after="20"/>
            </w:pPr>
            <w:r/>
            <w:r>
              <w:rPr>
                <w:rFonts w:ascii="Verdana" w:hAnsi="Verdana"/>
                <w:b w:val="0"/>
                <w:sz w:val="16"/>
              </w:rPr>
              <w:t>Masse volumique de la neige (teneur en eau liquide)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Hauteur totale de la couche de neige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Indicateur de qualité des données de l'altimètre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Indicateur de qualité des données sur l'océan dans une bande précise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