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10 063  Характеристика барической тенденции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Рост, затем падение; атмосферное давление такое же или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Рост, затем ровный ход; или рост, затем более слабый рост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 (равномерный или неравномерный)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 или ровный ход, затем рост; затем более слабый рост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Ровный ход; атмосферное давление такое же, как и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Падение, затем рост; атмосферное давление такое же или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Падение, затем ровный ход; или падение, затем более слабое падение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 (равномерное или неравномерное)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Ровный ход или рост, затем падение; или падение, затем падение более сильное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Крейсерский эшелон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Околозвуковой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