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04: Location (time)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 within a minute (microsecond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Reference time period for accumulated or extreme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Duration of time relating to following value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Duration of time relating to following value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difference, UTC - LMT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48: The latitude and longitude descriptors 0 05 001 and 0 06 001 indicate the position of the instrument and not the measurement itself (which is separately encoded in the associated data sequence).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 of the year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 time of daily reading of maximum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 time of daily reading of minimum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days with precipitation equal to or more than 1 mm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Times of observation used to compute the reported mean values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Averaging period for following value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time period or displacement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27: All times are Universal Time Coordinated (UTC) unless otherwise noted.</w:t>
      </w:r>
    </w:p>
    <w:p>
      <w:r>
        <w:rPr>
          <w:rFonts w:ascii="Verdana" w:hAnsi="Verdana"/>
          <w:i/>
          <w:sz w:val="14"/>
        </w:rPr>
        <w:t>Note 105: Negative time periods or displacements shall be used to indicate time periods or displacements preceding the currently defined time.</w:t>
      </w:r>
    </w:p>
    <w:p>
      <w:r>
        <w:rPr>
          <w:rFonts w:ascii="Verdana" w:hAnsi="Verdana"/>
          <w:i/>
          <w:sz w:val="14"/>
        </w:rPr>
        <w:t>Note 145: The significance of time periods or displacements may be indicated using the time significance code corresponding to table reference 0 08 021.</w:t>
      </w:r>
    </w:p>
    <w:p>
      <w:r>
        <w:rPr>
          <w:rFonts w:ascii="Verdana" w:hAnsi="Verdana"/>
          <w:i/>
          <w:sz w:val="14"/>
        </w:rPr>
        <w:t>Note 149: The time location, when used with forecast values, shall indicate the time of the initial state for the forecast, or the beginning of the forecast period; when used with ensemble means of forecast values, the time location shall indicate the initial state or the beginning of the first forecast over which ensemble means are derived.</w:t>
      </w:r>
    </w:p>
    <w:p>
      <w:r>
        <w:rPr>
          <w:rFonts w:ascii="Verdana" w:hAnsi="Verdana"/>
          <w:i/>
          <w:sz w:val="14"/>
        </w:rPr>
        <w:t>Note 158: Time periods or displacements and time increments require an initial time location to be defined prior to their use, followed where appropriate by a time significance definition.</w:t>
      </w:r>
    </w:p>
    <w:p>
      <w:r>
        <w:rPr>
          <w:rFonts w:ascii="Verdana" w:hAnsi="Verdana"/>
          <w:i/>
          <w:sz w:val="14"/>
        </w:rPr>
        <w:t>Note 176: Where more than one time period or displacement is required to define complex time structures, they shall be defined in immediate succession, and the following ordering shall apply: ensemble period (if required), followed by forecast period (if required), followed by period for averaging or accumulation (if required).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