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Class 08: Significance qualifiers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1514"/>
        <w:gridCol w:w="1514"/>
        <w:gridCol w:w="1514"/>
        <w:gridCol w:w="1514"/>
        <w:gridCol w:w="1514"/>
        <w:gridCol w:w="1514"/>
        <w:gridCol w:w="1514"/>
        <w:gridCol w:w="1514"/>
        <w:gridCol w:w="1514"/>
        <w:gridCol w:w="1514"/>
      </w:tblGrid>
      <w:tr>
        <w:trPr>
          <w:tblHeader/>
        </w:trPr>
        <w:tc>
          <w:tcPr>
            <w:tcW w:type="dxa" w:w="1514"/>
            <w:shd w:val="clear" w:color="auto" w:fill="D9D9D9"/>
          </w:tcPr>
          <w:p>
            <w:pPr>
              <w:spacing w:before="20" w:after="20"/>
            </w:pPr>
            <w:r/>
            <w:r>
              <w:rPr>
                <w:rFonts w:ascii="Verdana" w:hAnsi="Verdana"/>
                <w:b w:val="0"/>
                <w:sz w:val="16"/>
              </w:rPr>
              <w:t>FXY</w:t>
            </w:r>
          </w:p>
        </w:tc>
        <w:tc>
          <w:tcPr>
            <w:tcW w:type="dxa" w:w="1514"/>
            <w:shd w:val="clear" w:color="auto" w:fill="D9D9D9"/>
          </w:tcPr>
          <w:p>
            <w:pPr>
              <w:spacing w:before="20" w:after="20"/>
            </w:pPr>
            <w:r/>
            <w:r>
              <w:rPr>
                <w:rFonts w:ascii="Verdana" w:hAnsi="Verdana"/>
                <w:b w:val="0"/>
                <w:sz w:val="16"/>
              </w:rPr>
              <w:t>ELEMENT NAME</w:t>
            </w:r>
          </w:p>
        </w:tc>
        <w:tc>
          <w:tcPr>
            <w:tcW w:type="dxa" w:w="1514"/>
            <w:shd w:val="clear" w:color="auto" w:fill="D9D9D9"/>
          </w:tcPr>
          <w:p>
            <w:pPr>
              <w:spacing w:before="20" w:after="20"/>
            </w:pPr>
            <w:r/>
            <w:r>
              <w:rPr>
                <w:rFonts w:ascii="Verdana" w:hAnsi="Verdana"/>
                <w:b w:val="0"/>
                <w:sz w:val="16"/>
              </w:rPr>
              <w:t>BUFR UNIT</w:t>
            </w:r>
          </w:p>
        </w:tc>
        <w:tc>
          <w:tcPr>
            <w:tcW w:type="dxa" w:w="1514"/>
            <w:shd w:val="clear" w:color="auto" w:fill="D9D9D9"/>
          </w:tcPr>
          <w:p>
            <w:pPr>
              <w:spacing w:before="20" w:after="20"/>
            </w:pPr>
            <w:r/>
            <w:r>
              <w:rPr>
                <w:rFonts w:ascii="Verdana" w:hAnsi="Verdana"/>
                <w:b w:val="0"/>
                <w:sz w:val="16"/>
              </w:rPr>
              <w:t>SCALE</w:t>
            </w:r>
          </w:p>
        </w:tc>
        <w:tc>
          <w:tcPr>
            <w:tcW w:type="dxa" w:w="1514"/>
            <w:shd w:val="clear" w:color="auto" w:fill="D9D9D9"/>
          </w:tcPr>
          <w:p>
            <w:pPr>
              <w:spacing w:before="20" w:after="20"/>
            </w:pPr>
            <w:r/>
            <w:r>
              <w:rPr>
                <w:rFonts w:ascii="Verdana" w:hAnsi="Verdana"/>
                <w:b w:val="0"/>
                <w:sz w:val="16"/>
              </w:rPr>
              <w:t>REF VALUE</w:t>
            </w:r>
          </w:p>
        </w:tc>
        <w:tc>
          <w:tcPr>
            <w:tcW w:type="dxa" w:w="1514"/>
            <w:shd w:val="clear" w:color="auto" w:fill="D9D9D9"/>
          </w:tcPr>
          <w:p>
            <w:pPr>
              <w:spacing w:before="20" w:after="20"/>
            </w:pPr>
            <w:r/>
            <w:r>
              <w:rPr>
                <w:rFonts w:ascii="Verdana" w:hAnsi="Verdana"/>
                <w:b w:val="0"/>
                <w:sz w:val="16"/>
              </w:rPr>
              <w:t>BITS</w:t>
            </w:r>
          </w:p>
        </w:tc>
        <w:tc>
          <w:tcPr>
            <w:tcW w:type="dxa" w:w="1514"/>
            <w:shd w:val="clear" w:color="auto" w:fill="D9D9D9"/>
          </w:tcPr>
          <w:p>
            <w:pPr>
              <w:spacing w:before="20" w:after="20"/>
            </w:pPr>
            <w:r/>
            <w:r>
              <w:rPr>
                <w:rFonts w:ascii="Verdana" w:hAnsi="Verdana"/>
                <w:b w:val="0"/>
                <w:sz w:val="16"/>
              </w:rPr>
              <w:t>CREX UNIT</w:t>
            </w:r>
          </w:p>
        </w:tc>
        <w:tc>
          <w:tcPr>
            <w:tcW w:type="dxa" w:w="1514"/>
            <w:shd w:val="clear" w:color="auto" w:fill="D9D9D9"/>
          </w:tcPr>
          <w:p>
            <w:pPr>
              <w:spacing w:before="20" w:after="20"/>
            </w:pPr>
            <w:r/>
            <w:r>
              <w:rPr>
                <w:rFonts w:ascii="Verdana" w:hAnsi="Verdana"/>
                <w:b w:val="0"/>
                <w:sz w:val="16"/>
              </w:rPr>
              <w:t>SCALE</w:t>
            </w:r>
          </w:p>
        </w:tc>
        <w:tc>
          <w:tcPr>
            <w:tcW w:type="dxa" w:w="1514"/>
            <w:shd w:val="clear" w:color="auto" w:fill="D9D9D9"/>
          </w:tcPr>
          <w:p>
            <w:pPr>
              <w:spacing w:before="20" w:after="20"/>
            </w:pPr>
            <w:r/>
            <w:r>
              <w:rPr>
                <w:rFonts w:ascii="Verdana" w:hAnsi="Verdana"/>
                <w:b w:val="0"/>
                <w:sz w:val="16"/>
              </w:rPr>
              <w:t>CHARS</w:t>
            </w:r>
          </w:p>
        </w:tc>
        <w:tc>
          <w:tcPr>
            <w:tcW w:type="dxa" w:w="1514"/>
            <w:shd w:val="clear" w:color="auto" w:fill="D9D9D9"/>
          </w:tcPr>
          <w:p>
            <w:pPr>
              <w:spacing w:before="20" w:after="20"/>
            </w:pPr>
            <w:r/>
            <w:r>
              <w:rPr>
                <w:rFonts w:ascii="Verdana" w:hAnsi="Verdana"/>
                <w:b w:val="0"/>
                <w:sz w:val="16"/>
              </w:rPr>
              <w:t>NOTE</w:t>
            </w:r>
          </w:p>
        </w:tc>
      </w:tr>
      <w:tr>
        <w:trPr>
          <w:cantSplit/>
        </w:trPr>
        <w:tc>
          <w:tcPr>
            <w:tcW w:type="dxa" w:w="1514"/>
          </w:tcPr>
          <w:p>
            <w:pPr>
              <w:spacing w:before="20" w:after="20"/>
            </w:pPr>
            <w:r/>
            <w:r>
              <w:rPr>
                <w:rFonts w:ascii="Verdana" w:hAnsi="Verdana"/>
                <w:b w:val="0"/>
                <w:sz w:val="16"/>
              </w:rPr>
              <w:t>0 08 001</w:t>
            </w:r>
          </w:p>
        </w:tc>
        <w:tc>
          <w:tcPr>
            <w:tcW w:type="dxa" w:w="1514"/>
          </w:tcPr>
          <w:p>
            <w:pPr>
              <w:spacing w:before="20" w:after="20"/>
            </w:pPr>
            <w:r/>
            <w:r>
              <w:rPr>
                <w:rFonts w:ascii="Verdana" w:hAnsi="Verdana"/>
                <w:b w:val="0"/>
                <w:sz w:val="16"/>
              </w:rPr>
              <w:t>Vertical sounding significance</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0 08 002</w:t>
            </w:r>
          </w:p>
        </w:tc>
        <w:tc>
          <w:tcPr>
            <w:tcW w:type="dxa" w:w="1514"/>
          </w:tcPr>
          <w:p>
            <w:pPr>
              <w:spacing w:before="20" w:after="20"/>
            </w:pPr>
            <w:r/>
            <w:r>
              <w:rPr>
                <w:rFonts w:ascii="Verdana" w:hAnsi="Verdana"/>
                <w:b w:val="0"/>
                <w:sz w:val="16"/>
              </w:rPr>
              <w:t>Vertical significance (surface observations)</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0 08 003</w:t>
            </w:r>
          </w:p>
        </w:tc>
        <w:tc>
          <w:tcPr>
            <w:tcW w:type="dxa" w:w="1514"/>
          </w:tcPr>
          <w:p>
            <w:pPr>
              <w:spacing w:before="20" w:after="20"/>
            </w:pPr>
            <w:r/>
            <w:r>
              <w:rPr>
                <w:rFonts w:ascii="Verdana" w:hAnsi="Verdana"/>
                <w:b w:val="0"/>
                <w:sz w:val="16"/>
              </w:rPr>
              <w:t>Vertical significance (satellite observations)</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0 08 004</w:t>
            </w:r>
          </w:p>
        </w:tc>
        <w:tc>
          <w:tcPr>
            <w:tcW w:type="dxa" w:w="1514"/>
          </w:tcPr>
          <w:p>
            <w:pPr>
              <w:spacing w:before="20" w:after="20"/>
            </w:pPr>
            <w:r/>
            <w:r>
              <w:rPr>
                <w:rFonts w:ascii="Verdana" w:hAnsi="Verdana"/>
                <w:b w:val="0"/>
                <w:sz w:val="16"/>
              </w:rPr>
              <w:t>Phase of aircraft flight</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0 08 005</w:t>
            </w:r>
          </w:p>
        </w:tc>
        <w:tc>
          <w:tcPr>
            <w:tcW w:type="dxa" w:w="1514"/>
          </w:tcPr>
          <w:p>
            <w:pPr>
              <w:spacing w:before="20" w:after="20"/>
            </w:pPr>
            <w:r/>
            <w:r>
              <w:rPr>
                <w:rFonts w:ascii="Verdana" w:hAnsi="Verdana"/>
                <w:b w:val="0"/>
                <w:sz w:val="16"/>
              </w:rPr>
              <w:t>Meteorological attribute significance</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0 08 006</w:t>
            </w:r>
          </w:p>
        </w:tc>
        <w:tc>
          <w:tcPr>
            <w:tcW w:type="dxa" w:w="1514"/>
          </w:tcPr>
          <w:p>
            <w:pPr>
              <w:spacing w:before="20" w:after="20"/>
            </w:pPr>
            <w:r/>
            <w:r>
              <w:rPr>
                <w:rFonts w:ascii="Verdana" w:hAnsi="Verdana"/>
                <w:b w:val="0"/>
                <w:sz w:val="16"/>
              </w:rPr>
              <w:t>Ozone vertical sounding significance</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0 08 007</w:t>
            </w:r>
          </w:p>
        </w:tc>
        <w:tc>
          <w:tcPr>
            <w:tcW w:type="dxa" w:w="1514"/>
          </w:tcPr>
          <w:p>
            <w:pPr>
              <w:spacing w:before="20" w:after="20"/>
            </w:pPr>
            <w:r/>
            <w:r>
              <w:rPr>
                <w:rFonts w:ascii="Verdana" w:hAnsi="Verdana"/>
                <w:b w:val="0"/>
                <w:sz w:val="16"/>
              </w:rPr>
              <w:t>Dimensional significance</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0 08 008</w:t>
            </w:r>
          </w:p>
        </w:tc>
        <w:tc>
          <w:tcPr>
            <w:tcW w:type="dxa" w:w="1514"/>
          </w:tcPr>
          <w:p>
            <w:pPr>
              <w:spacing w:before="20" w:after="20"/>
            </w:pPr>
            <w:r/>
            <w:r>
              <w:rPr>
                <w:rFonts w:ascii="Verdana" w:hAnsi="Verdana"/>
                <w:b w:val="0"/>
                <w:sz w:val="16"/>
              </w:rPr>
              <w:t>Radiation vertical sounding significance</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0 08 009</w:t>
            </w:r>
          </w:p>
        </w:tc>
        <w:tc>
          <w:tcPr>
            <w:tcW w:type="dxa" w:w="1514"/>
          </w:tcPr>
          <w:p>
            <w:pPr>
              <w:spacing w:before="20" w:after="20"/>
            </w:pPr>
            <w:r/>
            <w:r>
              <w:rPr>
                <w:rFonts w:ascii="Verdana" w:hAnsi="Verdana"/>
                <w:b w:val="0"/>
                <w:sz w:val="16"/>
              </w:rPr>
              <w:t>Detailed phase of flight</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0 08 010</w:t>
            </w:r>
          </w:p>
        </w:tc>
        <w:tc>
          <w:tcPr>
            <w:tcW w:type="dxa" w:w="1514"/>
          </w:tcPr>
          <w:p>
            <w:pPr>
              <w:spacing w:before="20" w:after="20"/>
            </w:pPr>
            <w:r/>
            <w:r>
              <w:rPr>
                <w:rFonts w:ascii="Verdana" w:hAnsi="Verdana"/>
                <w:b w:val="0"/>
                <w:sz w:val="16"/>
              </w:rPr>
              <w:t>Surface qualifier (temperature data)</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0 08 011</w:t>
            </w:r>
          </w:p>
        </w:tc>
        <w:tc>
          <w:tcPr>
            <w:tcW w:type="dxa" w:w="1514"/>
          </w:tcPr>
          <w:p>
            <w:pPr>
              <w:spacing w:before="20" w:after="20"/>
            </w:pPr>
            <w:r/>
            <w:r>
              <w:rPr>
                <w:rFonts w:ascii="Verdana" w:hAnsi="Verdana"/>
                <w:b w:val="0"/>
                <w:sz w:val="16"/>
              </w:rPr>
              <w:t>Meteorological feature</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0 08 012</w:t>
            </w:r>
          </w:p>
        </w:tc>
        <w:tc>
          <w:tcPr>
            <w:tcW w:type="dxa" w:w="1514"/>
          </w:tcPr>
          <w:p>
            <w:pPr>
              <w:spacing w:before="20" w:after="20"/>
            </w:pPr>
            <w:r/>
            <w:r>
              <w:rPr>
                <w:rFonts w:ascii="Verdana" w:hAnsi="Verdana"/>
                <w:b w:val="0"/>
                <w:sz w:val="16"/>
              </w:rPr>
              <w:t>Land/sea qualifier</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0 08 013</w:t>
            </w:r>
          </w:p>
        </w:tc>
        <w:tc>
          <w:tcPr>
            <w:tcW w:type="dxa" w:w="1514"/>
          </w:tcPr>
          <w:p>
            <w:pPr>
              <w:spacing w:before="20" w:after="20"/>
            </w:pPr>
            <w:r/>
            <w:r>
              <w:rPr>
                <w:rFonts w:ascii="Verdana" w:hAnsi="Verdana"/>
                <w:b w:val="0"/>
                <w:sz w:val="16"/>
              </w:rPr>
              <w:t>Day/night qualifier</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0 08 014</w:t>
            </w:r>
          </w:p>
        </w:tc>
        <w:tc>
          <w:tcPr>
            <w:tcW w:type="dxa" w:w="1514"/>
          </w:tcPr>
          <w:p>
            <w:pPr>
              <w:spacing w:before="20" w:after="20"/>
            </w:pPr>
            <w:r/>
            <w:r>
              <w:rPr>
                <w:rFonts w:ascii="Verdana" w:hAnsi="Verdana"/>
                <w:b w:val="0"/>
                <w:sz w:val="16"/>
              </w:rPr>
              <w:t>Qualifier for runway visual range</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0 08 015</w:t>
            </w:r>
          </w:p>
        </w:tc>
        <w:tc>
          <w:tcPr>
            <w:tcW w:type="dxa" w:w="1514"/>
          </w:tcPr>
          <w:p>
            <w:pPr>
              <w:spacing w:before="20" w:after="20"/>
            </w:pPr>
            <w:r/>
            <w:r>
              <w:rPr>
                <w:rFonts w:ascii="Verdana" w:hAnsi="Verdana"/>
                <w:b w:val="0"/>
                <w:sz w:val="16"/>
              </w:rPr>
              <w:t>Significant qualifier for sensor</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0 08 016</w:t>
            </w:r>
          </w:p>
        </w:tc>
        <w:tc>
          <w:tcPr>
            <w:tcW w:type="dxa" w:w="1514"/>
          </w:tcPr>
          <w:p>
            <w:pPr>
              <w:spacing w:before="20" w:after="20"/>
            </w:pPr>
            <w:r/>
            <w:r>
              <w:rPr>
                <w:rFonts w:ascii="Verdana" w:hAnsi="Verdana"/>
                <w:b w:val="0"/>
                <w:sz w:val="16"/>
              </w:rPr>
              <w:t>Change qualifier of a trend-type forecast or an aerodrome forecast</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0 08 017</w:t>
            </w:r>
          </w:p>
        </w:tc>
        <w:tc>
          <w:tcPr>
            <w:tcW w:type="dxa" w:w="1514"/>
          </w:tcPr>
          <w:p>
            <w:pPr>
              <w:spacing w:before="20" w:after="20"/>
            </w:pPr>
            <w:r/>
            <w:r>
              <w:rPr>
                <w:rFonts w:ascii="Verdana" w:hAnsi="Verdana"/>
                <w:b w:val="0"/>
                <w:sz w:val="16"/>
              </w:rPr>
              <w:t>Qualifier of the time when the forecast change is expected</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0 08 018</w:t>
            </w:r>
          </w:p>
        </w:tc>
        <w:tc>
          <w:tcPr>
            <w:tcW w:type="dxa" w:w="1514"/>
          </w:tcPr>
          <w:p>
            <w:pPr>
              <w:spacing w:before="20" w:after="20"/>
            </w:pPr>
            <w:r/>
            <w:r>
              <w:rPr>
                <w:rFonts w:ascii="Verdana" w:hAnsi="Verdana"/>
                <w:b w:val="0"/>
                <w:sz w:val="16"/>
              </w:rPr>
              <w:t>SEAWINDS land/ice surface type</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0 08 019</w:t>
            </w:r>
          </w:p>
        </w:tc>
        <w:tc>
          <w:tcPr>
            <w:tcW w:type="dxa" w:w="1514"/>
          </w:tcPr>
          <w:p>
            <w:pPr>
              <w:spacing w:before="20" w:after="20"/>
            </w:pPr>
            <w:r/>
            <w:r>
              <w:rPr>
                <w:rFonts w:ascii="Verdana" w:hAnsi="Verdana"/>
                <w:b w:val="0"/>
                <w:sz w:val="16"/>
              </w:rPr>
              <w:t>Qualifier for following centre identifier</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0 08 020</w:t>
            </w:r>
          </w:p>
        </w:tc>
        <w:tc>
          <w:tcPr>
            <w:tcW w:type="dxa" w:w="1514"/>
          </w:tcPr>
          <w:p>
            <w:pPr>
              <w:spacing w:before="20" w:after="20"/>
            </w:pPr>
            <w:r/>
            <w:r>
              <w:rPr>
                <w:rFonts w:ascii="Verdana" w:hAnsi="Verdana"/>
                <w:b w:val="0"/>
                <w:sz w:val="16"/>
              </w:rPr>
              <w:t>Total number of missing entities (with respect to accumulation or average)</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0 08 021</w:t>
            </w:r>
          </w:p>
        </w:tc>
        <w:tc>
          <w:tcPr>
            <w:tcW w:type="dxa" w:w="1514"/>
          </w:tcPr>
          <w:p>
            <w:pPr>
              <w:spacing w:before="20" w:after="20"/>
            </w:pPr>
            <w:r/>
            <w:r>
              <w:rPr>
                <w:rFonts w:ascii="Verdana" w:hAnsi="Verdana"/>
                <w:b w:val="0"/>
                <w:sz w:val="16"/>
              </w:rPr>
              <w:t>Time significance</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0 08 022</w:t>
            </w:r>
          </w:p>
        </w:tc>
        <w:tc>
          <w:tcPr>
            <w:tcW w:type="dxa" w:w="1514"/>
          </w:tcPr>
          <w:p>
            <w:pPr>
              <w:spacing w:before="20" w:after="20"/>
            </w:pPr>
            <w:r/>
            <w:r>
              <w:rPr>
                <w:rFonts w:ascii="Verdana" w:hAnsi="Verdana"/>
                <w:b w:val="0"/>
                <w:sz w:val="16"/>
              </w:rPr>
              <w:t>Total number (with respect to accumulation or average)</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0 08 023</w:t>
            </w:r>
          </w:p>
        </w:tc>
        <w:tc>
          <w:tcPr>
            <w:tcW w:type="dxa" w:w="1514"/>
          </w:tcPr>
          <w:p>
            <w:pPr>
              <w:spacing w:before="20" w:after="20"/>
            </w:pPr>
            <w:r/>
            <w:r>
              <w:rPr>
                <w:rFonts w:ascii="Verdana" w:hAnsi="Verdana"/>
                <w:b w:val="0"/>
                <w:sz w:val="16"/>
              </w:rPr>
              <w:t>First-order statistics</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Note 70: This value is the official or best estimate of the actual elevation of the station. It is provided for comparison with the model’s virtual terrain elevation. The two can be substantially different in rugged terrain. The scale factor is increased to make the value directly comparable with 0 07 030 below.</w:t>
            </w:r>
          </w:p>
        </w:tc>
      </w:tr>
      <w:tr>
        <w:trPr>
          <w:cantSplit/>
        </w:trPr>
        <w:tc>
          <w:tcPr>
            <w:tcW w:type="dxa" w:w="1514"/>
          </w:tcPr>
          <w:p>
            <w:pPr>
              <w:spacing w:before="20" w:after="20"/>
            </w:pPr>
            <w:r/>
            <w:r>
              <w:rPr>
                <w:rFonts w:ascii="Verdana" w:hAnsi="Verdana"/>
                <w:b w:val="0"/>
                <w:sz w:val="16"/>
              </w:rPr>
              <w:t>0 08 024</w:t>
            </w:r>
          </w:p>
        </w:tc>
        <w:tc>
          <w:tcPr>
            <w:tcW w:type="dxa" w:w="1514"/>
          </w:tcPr>
          <w:p>
            <w:pPr>
              <w:spacing w:before="20" w:after="20"/>
            </w:pPr>
            <w:r/>
            <w:r>
              <w:rPr>
                <w:rFonts w:ascii="Verdana" w:hAnsi="Verdana"/>
                <w:b w:val="0"/>
                <w:sz w:val="16"/>
              </w:rPr>
              <w:t>Difference statistics</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Note 61: The value reported for 0 19 007 shall be "missing" unless the horizontal section being described is a circle.</w:t>
            </w:r>
          </w:p>
        </w:tc>
      </w:tr>
      <w:tr>
        <w:trPr>
          <w:cantSplit/>
        </w:trPr>
        <w:tc>
          <w:tcPr>
            <w:tcW w:type="dxa" w:w="1514"/>
          </w:tcPr>
          <w:p>
            <w:pPr>
              <w:spacing w:before="20" w:after="20"/>
            </w:pPr>
            <w:r/>
            <w:r>
              <w:rPr>
                <w:rFonts w:ascii="Verdana" w:hAnsi="Verdana"/>
                <w:b w:val="0"/>
                <w:sz w:val="16"/>
              </w:rPr>
              <w:t>0 08 025</w:t>
            </w:r>
          </w:p>
        </w:tc>
        <w:tc>
          <w:tcPr>
            <w:tcW w:type="dxa" w:w="1514"/>
          </w:tcPr>
          <w:p>
            <w:pPr>
              <w:spacing w:before="20" w:after="20"/>
            </w:pPr>
            <w:r/>
            <w:r>
              <w:rPr>
                <w:rFonts w:ascii="Verdana" w:hAnsi="Verdana"/>
                <w:b w:val="0"/>
                <w:sz w:val="16"/>
              </w:rPr>
              <w:t>Time difference qualifier</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Note 49: The majority of stations has only one position on the road and one subsurface temperature sensor. Delayed Replications have been introduced to increase flexibility and volume efficiency.</w:t>
            </w:r>
          </w:p>
        </w:tc>
      </w:tr>
      <w:tr>
        <w:trPr>
          <w:cantSplit/>
        </w:trPr>
        <w:tc>
          <w:tcPr>
            <w:tcW w:type="dxa" w:w="1514"/>
          </w:tcPr>
          <w:p>
            <w:pPr>
              <w:spacing w:before="20" w:after="20"/>
            </w:pPr>
            <w:r/>
            <w:r>
              <w:rPr>
                <w:rFonts w:ascii="Verdana" w:hAnsi="Verdana"/>
                <w:b w:val="0"/>
                <w:sz w:val="16"/>
              </w:rPr>
              <w:t>0 08 026</w:t>
            </w:r>
          </w:p>
        </w:tc>
        <w:tc>
          <w:tcPr>
            <w:tcW w:type="dxa" w:w="1514"/>
          </w:tcPr>
          <w:p>
            <w:pPr>
              <w:spacing w:before="20" w:after="20"/>
            </w:pPr>
            <w:r/>
            <w:r>
              <w:rPr>
                <w:rFonts w:ascii="Verdana" w:hAnsi="Verdana"/>
                <w:b w:val="0"/>
                <w:sz w:val="16"/>
              </w:rPr>
              <w:t>Matrix significance</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0 08 027</w:t>
            </w:r>
          </w:p>
        </w:tc>
        <w:tc>
          <w:tcPr>
            <w:tcW w:type="dxa" w:w="1514"/>
          </w:tcPr>
          <w:p>
            <w:pPr>
              <w:spacing w:before="20" w:after="20"/>
            </w:pPr>
            <w:r/>
            <w:r>
              <w:rPr>
                <w:rFonts w:ascii="Verdana" w:hAnsi="Verdana"/>
                <w:b w:val="0"/>
                <w:sz w:val="16"/>
              </w:rPr>
              <w:t>Type of sea-surface height anomaly measurement</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r>
          </w:p>
        </w:tc>
        <w:tc>
          <w:tcPr>
            <w:tcW w:type="dxa" w:w="1514"/>
          </w:tcPr>
          <w:p>
            <w:pPr>
              <w:spacing w:before="20" w:after="20"/>
            </w:pPr>
            <w:r/>
            <w:r>
              <w:rPr>
                <w:rFonts w:ascii="Verdana" w:hAnsi="Verdana"/>
                <w:b w:val="0"/>
                <w:sz w:val="16"/>
              </w:rPr>
            </w:r>
          </w:p>
        </w:tc>
        <w:tc>
          <w:tcPr>
            <w:tcW w:type="dxa" w:w="1514"/>
          </w:tcPr>
          <w:p>
            <w:pPr>
              <w:spacing w:before="20" w:after="20"/>
            </w:pPr>
            <w:r/>
            <w:r>
              <w:rPr>
                <w:rFonts w:ascii="Verdana" w:hAnsi="Verdana"/>
                <w:b w:val="0"/>
                <w:sz w:val="16"/>
              </w:rPr>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0 08 029</w:t>
            </w:r>
          </w:p>
        </w:tc>
        <w:tc>
          <w:tcPr>
            <w:tcW w:type="dxa" w:w="1514"/>
          </w:tcPr>
          <w:p>
            <w:pPr>
              <w:spacing w:before="20" w:after="20"/>
            </w:pPr>
            <w:r/>
            <w:r>
              <w:rPr>
                <w:rFonts w:ascii="Verdana" w:hAnsi="Verdana"/>
                <w:b w:val="0"/>
                <w:sz w:val="16"/>
              </w:rPr>
              <w:t>Surface type</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0 08 030</w:t>
            </w:r>
          </w:p>
        </w:tc>
        <w:tc>
          <w:tcPr>
            <w:tcW w:type="dxa" w:w="1514"/>
          </w:tcPr>
          <w:p>
            <w:pPr>
              <w:spacing w:before="20" w:after="20"/>
            </w:pPr>
            <w:r/>
            <w:r>
              <w:rPr>
                <w:rFonts w:ascii="Verdana" w:hAnsi="Verdana"/>
                <w:b w:val="0"/>
                <w:sz w:val="16"/>
              </w:rPr>
              <w:t>Manual on Codes (Volume I.1, Section C) Code table from which data are derived</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0 08 031</w:t>
            </w:r>
          </w:p>
        </w:tc>
        <w:tc>
          <w:tcPr>
            <w:tcW w:type="dxa" w:w="1514"/>
          </w:tcPr>
          <w:p>
            <w:pPr>
              <w:spacing w:before="20" w:after="20"/>
            </w:pPr>
            <w:r/>
            <w:r>
              <w:rPr>
                <w:rFonts w:ascii="Verdana" w:hAnsi="Verdana"/>
                <w:b w:val="0"/>
                <w:sz w:val="16"/>
              </w:rPr>
              <w:t>Data category - CREX table A</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0 08 032</w:t>
            </w:r>
          </w:p>
        </w:tc>
        <w:tc>
          <w:tcPr>
            <w:tcW w:type="dxa" w:w="1514"/>
          </w:tcPr>
          <w:p>
            <w:pPr>
              <w:spacing w:before="20" w:after="20"/>
            </w:pPr>
            <w:r/>
            <w:r>
              <w:rPr>
                <w:rFonts w:ascii="Verdana" w:hAnsi="Verdana"/>
                <w:b w:val="0"/>
                <w:sz w:val="16"/>
              </w:rPr>
              <w:t>Status of operation</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0 08 033</w:t>
            </w:r>
          </w:p>
        </w:tc>
        <w:tc>
          <w:tcPr>
            <w:tcW w:type="dxa" w:w="1514"/>
          </w:tcPr>
          <w:p>
            <w:pPr>
              <w:spacing w:before="20" w:after="20"/>
            </w:pPr>
            <w:r/>
            <w:r>
              <w:rPr>
                <w:rFonts w:ascii="Verdana" w:hAnsi="Verdana"/>
                <w:b w:val="0"/>
                <w:sz w:val="16"/>
              </w:rPr>
              <w:t>Method of derivation of percentage confidence</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50: The Measurement uncertainty expression and significance descriptors 0 08 092 and 0 08 093 relate to all parameter uncertainties provided in the Backscatter data section</w:t>
            </w:r>
          </w:p>
        </w:tc>
      </w:tr>
      <w:tr>
        <w:trPr>
          <w:cantSplit/>
        </w:trPr>
        <w:tc>
          <w:tcPr>
            <w:tcW w:type="dxa" w:w="1514"/>
          </w:tcPr>
          <w:p>
            <w:pPr>
              <w:spacing w:before="20" w:after="20"/>
            </w:pPr>
            <w:r/>
            <w:r>
              <w:rPr>
                <w:rFonts w:ascii="Verdana" w:hAnsi="Verdana"/>
                <w:b w:val="0"/>
                <w:sz w:val="16"/>
              </w:rPr>
              <w:t>0 08 034</w:t>
            </w:r>
          </w:p>
        </w:tc>
        <w:tc>
          <w:tcPr>
            <w:tcW w:type="dxa" w:w="1514"/>
          </w:tcPr>
          <w:p>
            <w:pPr>
              <w:spacing w:before="20" w:after="20"/>
            </w:pPr>
            <w:r/>
            <w:r>
              <w:rPr>
                <w:rFonts w:ascii="Verdana" w:hAnsi="Verdana"/>
                <w:b w:val="0"/>
                <w:sz w:val="16"/>
              </w:rPr>
              <w:t>Temperature/salinity measurement qualifier</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0 08 035</w:t>
            </w:r>
          </w:p>
        </w:tc>
        <w:tc>
          <w:tcPr>
            <w:tcW w:type="dxa" w:w="1514"/>
          </w:tcPr>
          <w:p>
            <w:pPr>
              <w:spacing w:before="20" w:after="20"/>
            </w:pPr>
            <w:r/>
            <w:r>
              <w:rPr>
                <w:rFonts w:ascii="Verdana" w:hAnsi="Verdana"/>
                <w:b w:val="0"/>
                <w:sz w:val="16"/>
              </w:rPr>
              <w:t>Type of monitoring exercise</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0 08 036</w:t>
            </w:r>
          </w:p>
        </w:tc>
        <w:tc>
          <w:tcPr>
            <w:tcW w:type="dxa" w:w="1514"/>
          </w:tcPr>
          <w:p>
            <w:pPr>
              <w:spacing w:before="20" w:after="20"/>
            </w:pPr>
            <w:r/>
            <w:r>
              <w:rPr>
                <w:rFonts w:ascii="Verdana" w:hAnsi="Verdana"/>
                <w:b w:val="0"/>
                <w:sz w:val="16"/>
              </w:rPr>
              <w:t>Type of centre or station performing monitoring</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0 08 037</w:t>
            </w:r>
          </w:p>
        </w:tc>
        <w:tc>
          <w:tcPr>
            <w:tcW w:type="dxa" w:w="1514"/>
          </w:tcPr>
          <w:p>
            <w:pPr>
              <w:spacing w:before="20" w:after="20"/>
            </w:pPr>
            <w:r/>
            <w:r>
              <w:rPr>
                <w:rFonts w:ascii="Verdana" w:hAnsi="Verdana"/>
                <w:b w:val="0"/>
                <w:sz w:val="16"/>
              </w:rPr>
              <w:t>Baseline check significance</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0 08 038</w:t>
            </w:r>
          </w:p>
        </w:tc>
        <w:tc>
          <w:tcPr>
            <w:tcW w:type="dxa" w:w="1514"/>
          </w:tcPr>
          <w:p>
            <w:pPr>
              <w:spacing w:before="20" w:after="20"/>
            </w:pPr>
            <w:r/>
            <w:r>
              <w:rPr>
                <w:rFonts w:ascii="Verdana" w:hAnsi="Verdana"/>
                <w:b w:val="0"/>
                <w:sz w:val="16"/>
              </w:rPr>
              <w:t>Instrument data significance</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0 08 039</w:t>
            </w:r>
          </w:p>
        </w:tc>
        <w:tc>
          <w:tcPr>
            <w:tcW w:type="dxa" w:w="1514"/>
          </w:tcPr>
          <w:p>
            <w:pPr>
              <w:spacing w:before="20" w:after="20"/>
            </w:pPr>
            <w:r/>
            <w:r>
              <w:rPr>
                <w:rFonts w:ascii="Verdana" w:hAnsi="Verdana"/>
                <w:b w:val="0"/>
                <w:sz w:val="16"/>
              </w:rPr>
              <w:t>Time significance (Aviation forecast)</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0 08 040</w:t>
            </w:r>
          </w:p>
        </w:tc>
        <w:tc>
          <w:tcPr>
            <w:tcW w:type="dxa" w:w="1514"/>
          </w:tcPr>
          <w:p>
            <w:pPr>
              <w:spacing w:before="20" w:after="20"/>
            </w:pPr>
            <w:r/>
            <w:r>
              <w:rPr>
                <w:rFonts w:ascii="Verdana" w:hAnsi="Verdana"/>
                <w:b w:val="0"/>
                <w:sz w:val="16"/>
              </w:rPr>
              <w:t>Flight level significance</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0 08 041</w:t>
            </w:r>
          </w:p>
        </w:tc>
        <w:tc>
          <w:tcPr>
            <w:tcW w:type="dxa" w:w="1514"/>
          </w:tcPr>
          <w:p>
            <w:pPr>
              <w:spacing w:before="20" w:after="20"/>
            </w:pPr>
            <w:r/>
            <w:r>
              <w:rPr>
                <w:rFonts w:ascii="Verdana" w:hAnsi="Verdana"/>
                <w:b w:val="0"/>
                <w:sz w:val="16"/>
              </w:rPr>
              <w:t>Data significance</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0 08 042</w:t>
            </w:r>
          </w:p>
        </w:tc>
        <w:tc>
          <w:tcPr>
            <w:tcW w:type="dxa" w:w="1514"/>
          </w:tcPr>
          <w:p>
            <w:pPr>
              <w:spacing w:before="20" w:after="20"/>
            </w:pPr>
            <w:r/>
            <w:r>
              <w:rPr>
                <w:rFonts w:ascii="Verdana" w:hAnsi="Verdana"/>
                <w:b w:val="0"/>
                <w:sz w:val="16"/>
              </w:rPr>
              <w:t>Extended vertical sounding significance</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18</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0 08 043</w:t>
            </w:r>
          </w:p>
        </w:tc>
        <w:tc>
          <w:tcPr>
            <w:tcW w:type="dxa" w:w="1514"/>
          </w:tcPr>
          <w:p>
            <w:pPr>
              <w:spacing w:before="20" w:after="20"/>
            </w:pPr>
            <w:r/>
            <w:r>
              <w:rPr>
                <w:rFonts w:ascii="Verdana" w:hAnsi="Verdana"/>
                <w:b w:val="0"/>
                <w:sz w:val="16"/>
              </w:rPr>
              <w:t>Atmospheric chemical or physical constituent type</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169: When descriptor 0 08 043 is used to specify particulate matter (PM) under a given size threshold, descriptor 0 08 044 or 0 08 046 may also be used to further specify a subset of the PM population on the basis of ion composition.</w:t>
            </w:r>
          </w:p>
        </w:tc>
      </w:tr>
      <w:tr>
        <w:trPr>
          <w:cantSplit/>
        </w:trPr>
        <w:tc>
          <w:tcPr>
            <w:tcW w:type="dxa" w:w="1514"/>
          </w:tcPr>
          <w:p>
            <w:pPr>
              <w:spacing w:before="20" w:after="20"/>
            </w:pPr>
            <w:r/>
            <w:r>
              <w:rPr>
                <w:rFonts w:ascii="Verdana" w:hAnsi="Verdana"/>
                <w:b w:val="0"/>
                <w:sz w:val="16"/>
              </w:rPr>
              <w:t>0 08 044</w:t>
            </w:r>
          </w:p>
        </w:tc>
        <w:tc>
          <w:tcPr>
            <w:tcW w:type="dxa" w:w="1514"/>
          </w:tcPr>
          <w:p>
            <w:pPr>
              <w:spacing w:before="20" w:after="20"/>
            </w:pPr>
            <w:r/>
            <w:r>
              <w:rPr>
                <w:rFonts w:ascii="Verdana" w:hAnsi="Verdana"/>
                <w:b w:val="0"/>
                <w:sz w:val="16"/>
              </w:rPr>
              <w:t>CAS registry number</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88</w:t>
            </w:r>
          </w:p>
        </w:tc>
        <w:tc>
          <w:tcPr>
            <w:tcW w:type="dxa" w:w="1514"/>
          </w:tcPr>
          <w:p>
            <w:pPr>
              <w:spacing w:before="20" w:after="20"/>
            </w:pPr>
            <w:r/>
            <w:r>
              <w:rPr>
                <w:rFonts w:ascii="Verdana" w:hAnsi="Verdana"/>
                <w:sz w:val="16"/>
              </w:rPr>
              <w:t>Character</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0 08 045</w:t>
            </w:r>
          </w:p>
        </w:tc>
        <w:tc>
          <w:tcPr>
            <w:tcW w:type="dxa" w:w="1514"/>
          </w:tcPr>
          <w:p>
            <w:pPr>
              <w:spacing w:before="20" w:after="20"/>
            </w:pPr>
            <w:r/>
            <w:r>
              <w:rPr>
                <w:rFonts w:ascii="Verdana" w:hAnsi="Verdana"/>
                <w:b w:val="0"/>
                <w:sz w:val="16"/>
              </w:rPr>
              <w:t>Character of particulate matter</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Character</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0 08 046</w:t>
            </w:r>
          </w:p>
        </w:tc>
        <w:tc>
          <w:tcPr>
            <w:tcW w:type="dxa" w:w="1514"/>
          </w:tcPr>
          <w:p>
            <w:pPr>
              <w:spacing w:before="20" w:after="20"/>
            </w:pPr>
            <w:r/>
            <w:r>
              <w:rPr>
                <w:rFonts w:ascii="Verdana" w:hAnsi="Verdana"/>
                <w:b w:val="0"/>
                <w:sz w:val="16"/>
              </w:rPr>
              <w:t>Atmospheric chemical or physical constituent type</w:t>
            </w:r>
          </w:p>
        </w:tc>
        <w:tc>
          <w:tcPr>
            <w:tcW w:type="dxa" w:w="1514"/>
          </w:tcPr>
          <w:p>
            <w:pPr>
              <w:spacing w:before="20" w:after="20"/>
            </w:pPr>
            <w:r/>
            <w:r>
              <w:rPr>
                <w:rFonts w:ascii="Verdana" w:hAnsi="Verdana"/>
                <w:sz w:val="16"/>
              </w:rPr>
              <w:t>Common Code table C-14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Common Code table C-14</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0 08 049</w:t>
            </w:r>
          </w:p>
        </w:tc>
        <w:tc>
          <w:tcPr>
            <w:tcW w:type="dxa" w:w="1514"/>
          </w:tcPr>
          <w:p>
            <w:pPr>
              <w:spacing w:before="20" w:after="20"/>
            </w:pPr>
            <w:r/>
            <w:r>
              <w:rPr>
                <w:rFonts w:ascii="Verdana" w:hAnsi="Verdana"/>
                <w:b w:val="0"/>
                <w:sz w:val="16"/>
              </w:rPr>
              <w:t>Number of observations</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0 08 050</w:t>
            </w:r>
          </w:p>
        </w:tc>
        <w:tc>
          <w:tcPr>
            <w:tcW w:type="dxa" w:w="1514"/>
          </w:tcPr>
          <w:p>
            <w:pPr>
              <w:spacing w:before="20" w:after="20"/>
            </w:pPr>
            <w:r/>
            <w:r>
              <w:rPr>
                <w:rFonts w:ascii="Verdana" w:hAnsi="Verdana"/>
                <w:b w:val="0"/>
                <w:sz w:val="16"/>
              </w:rPr>
              <w:t>Qualifier for number of missing values in calculation of statistic</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0 08 051</w:t>
            </w:r>
          </w:p>
        </w:tc>
        <w:tc>
          <w:tcPr>
            <w:tcW w:type="dxa" w:w="1514"/>
          </w:tcPr>
          <w:p>
            <w:pPr>
              <w:spacing w:before="20" w:after="20"/>
            </w:pPr>
            <w:r/>
            <w:r>
              <w:rPr>
                <w:rFonts w:ascii="Verdana" w:hAnsi="Verdana"/>
                <w:b w:val="0"/>
                <w:sz w:val="16"/>
              </w:rPr>
              <w:t>Qualifier for number of missing values in calculation of statistic</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0 08 052</w:t>
            </w:r>
          </w:p>
        </w:tc>
        <w:tc>
          <w:tcPr>
            <w:tcW w:type="dxa" w:w="1514"/>
          </w:tcPr>
          <w:p>
            <w:pPr>
              <w:spacing w:before="20" w:after="20"/>
            </w:pPr>
            <w:r/>
            <w:r>
              <w:rPr>
                <w:rFonts w:ascii="Verdana" w:hAnsi="Verdana"/>
                <w:b w:val="0"/>
                <w:sz w:val="16"/>
              </w:rPr>
              <w:t>Condition for which number of days of occurrence follows</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0 08 053</w:t>
            </w:r>
          </w:p>
        </w:tc>
        <w:tc>
          <w:tcPr>
            <w:tcW w:type="dxa" w:w="1514"/>
          </w:tcPr>
          <w:p>
            <w:pPr>
              <w:spacing w:before="20" w:after="20"/>
            </w:pPr>
            <w:r/>
            <w:r>
              <w:rPr>
                <w:rFonts w:ascii="Verdana" w:hAnsi="Verdana"/>
                <w:b w:val="0"/>
                <w:sz w:val="16"/>
              </w:rPr>
              <w:t>Day of occurrence qualifier</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0 08 054</w:t>
            </w:r>
          </w:p>
        </w:tc>
        <w:tc>
          <w:tcPr>
            <w:tcW w:type="dxa" w:w="1514"/>
          </w:tcPr>
          <w:p>
            <w:pPr>
              <w:spacing w:before="20" w:after="20"/>
            </w:pPr>
            <w:r/>
            <w:r>
              <w:rPr>
                <w:rFonts w:ascii="Verdana" w:hAnsi="Verdana"/>
                <w:b w:val="0"/>
                <w:sz w:val="16"/>
              </w:rPr>
              <w:t>Qualifier for wind speed or wind gusts</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0 08 055</w:t>
            </w:r>
          </w:p>
        </w:tc>
        <w:tc>
          <w:tcPr>
            <w:tcW w:type="dxa" w:w="1514"/>
          </w:tcPr>
          <w:p>
            <w:pPr>
              <w:spacing w:before="20" w:after="20"/>
            </w:pPr>
            <w:r/>
            <w:r>
              <w:rPr>
                <w:rFonts w:ascii="Verdana" w:hAnsi="Verdana"/>
                <w:b w:val="0"/>
                <w:sz w:val="16"/>
              </w:rPr>
              <w:t>Method used to calculate the average wind components after removing vortex</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r>
          </w:p>
        </w:tc>
        <w:tc>
          <w:tcPr>
            <w:tcW w:type="dxa" w:w="1514"/>
          </w:tcPr>
          <w:p>
            <w:pPr>
              <w:spacing w:before="20" w:after="20"/>
            </w:pPr>
            <w:r/>
            <w:r>
              <w:rPr>
                <w:rFonts w:ascii="Verdana" w:hAnsi="Verdana"/>
                <w:b w:val="0"/>
                <w:sz w:val="16"/>
              </w:rPr>
            </w:r>
          </w:p>
        </w:tc>
        <w:tc>
          <w:tcPr>
            <w:tcW w:type="dxa" w:w="1514"/>
          </w:tcPr>
          <w:p>
            <w:pPr>
              <w:spacing w:before="20" w:after="20"/>
            </w:pPr>
            <w:r/>
            <w:r>
              <w:rPr>
                <w:rFonts w:ascii="Verdana" w:hAnsi="Verdana"/>
                <w:b w:val="0"/>
                <w:sz w:val="16"/>
              </w:rPr>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0 08 060</w:t>
            </w:r>
          </w:p>
        </w:tc>
        <w:tc>
          <w:tcPr>
            <w:tcW w:type="dxa" w:w="1514"/>
          </w:tcPr>
          <w:p>
            <w:pPr>
              <w:spacing w:before="20" w:after="20"/>
            </w:pPr>
            <w:r/>
            <w:r>
              <w:rPr>
                <w:rFonts w:ascii="Verdana" w:hAnsi="Verdana"/>
                <w:b w:val="0"/>
                <w:sz w:val="16"/>
              </w:rPr>
              <w:t>Sample scanning mode significance</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0 08 065</w:t>
            </w:r>
          </w:p>
        </w:tc>
        <w:tc>
          <w:tcPr>
            <w:tcW w:type="dxa" w:w="1514"/>
          </w:tcPr>
          <w:p>
            <w:pPr>
              <w:spacing w:before="20" w:after="20"/>
            </w:pPr>
            <w:r/>
            <w:r>
              <w:rPr>
                <w:rFonts w:ascii="Verdana" w:hAnsi="Verdana"/>
                <w:b w:val="0"/>
                <w:sz w:val="16"/>
              </w:rPr>
              <w:t>Sun-glint indicator</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0 08 066</w:t>
            </w:r>
          </w:p>
        </w:tc>
        <w:tc>
          <w:tcPr>
            <w:tcW w:type="dxa" w:w="1514"/>
          </w:tcPr>
          <w:p>
            <w:pPr>
              <w:spacing w:before="20" w:after="20"/>
            </w:pPr>
            <w:r/>
            <w:r>
              <w:rPr>
                <w:rFonts w:ascii="Verdana" w:hAnsi="Verdana"/>
                <w:b w:val="0"/>
                <w:sz w:val="16"/>
              </w:rPr>
              <w:t>Semi-transparency indicator</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0 08 070</w:t>
            </w:r>
          </w:p>
        </w:tc>
        <w:tc>
          <w:tcPr>
            <w:tcW w:type="dxa" w:w="1514"/>
          </w:tcPr>
          <w:p>
            <w:pPr>
              <w:spacing w:before="20" w:after="20"/>
            </w:pPr>
            <w:r/>
            <w:r>
              <w:rPr>
                <w:rFonts w:ascii="Verdana" w:hAnsi="Verdana"/>
                <w:b w:val="0"/>
                <w:sz w:val="16"/>
              </w:rPr>
              <w:t>Vertical sounding product qualifier</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0 08 071</w:t>
            </w:r>
          </w:p>
        </w:tc>
        <w:tc>
          <w:tcPr>
            <w:tcW w:type="dxa" w:w="1514"/>
          </w:tcPr>
          <w:p>
            <w:pPr>
              <w:spacing w:before="20" w:after="20"/>
            </w:pPr>
            <w:r/>
            <w:r>
              <w:rPr>
                <w:rFonts w:ascii="Verdana" w:hAnsi="Verdana"/>
                <w:b w:val="0"/>
                <w:sz w:val="16"/>
              </w:rPr>
              <w:t>Type of cost estimation</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0 08 072</w:t>
            </w:r>
          </w:p>
        </w:tc>
        <w:tc>
          <w:tcPr>
            <w:tcW w:type="dxa" w:w="1514"/>
          </w:tcPr>
          <w:p>
            <w:pPr>
              <w:spacing w:before="20" w:after="20"/>
            </w:pPr>
            <w:r/>
            <w:r>
              <w:rPr>
                <w:rFonts w:ascii="Verdana" w:hAnsi="Verdana"/>
                <w:b w:val="0"/>
                <w:sz w:val="16"/>
              </w:rPr>
              <w:t>Pixel(s) type</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0 08 074</w:t>
            </w:r>
          </w:p>
        </w:tc>
        <w:tc>
          <w:tcPr>
            <w:tcW w:type="dxa" w:w="1514"/>
          </w:tcPr>
          <w:p>
            <w:pPr>
              <w:spacing w:before="20" w:after="20"/>
            </w:pPr>
            <w:r/>
            <w:r>
              <w:rPr>
                <w:rFonts w:ascii="Verdana" w:hAnsi="Verdana"/>
                <w:b w:val="0"/>
                <w:sz w:val="16"/>
              </w:rPr>
              <w:t>Altimeter echo type</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0 08 075</w:t>
            </w:r>
          </w:p>
        </w:tc>
        <w:tc>
          <w:tcPr>
            <w:tcW w:type="dxa" w:w="1514"/>
          </w:tcPr>
          <w:p>
            <w:pPr>
              <w:spacing w:before="20" w:after="20"/>
            </w:pPr>
            <w:r/>
            <w:r>
              <w:rPr>
                <w:rFonts w:ascii="Verdana" w:hAnsi="Verdana"/>
                <w:b w:val="0"/>
                <w:sz w:val="16"/>
              </w:rPr>
              <w:t>Ascending/descending orbit qualifier</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0 08 076</w:t>
            </w:r>
          </w:p>
        </w:tc>
        <w:tc>
          <w:tcPr>
            <w:tcW w:type="dxa" w:w="1514"/>
          </w:tcPr>
          <w:p>
            <w:pPr>
              <w:spacing w:before="20" w:after="20"/>
            </w:pPr>
            <w:r/>
            <w:r>
              <w:rPr>
                <w:rFonts w:ascii="Verdana" w:hAnsi="Verdana"/>
                <w:b w:val="0"/>
                <w:sz w:val="16"/>
              </w:rPr>
              <w:t>Type of band</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0 08 077</w:t>
            </w:r>
          </w:p>
        </w:tc>
        <w:tc>
          <w:tcPr>
            <w:tcW w:type="dxa" w:w="1514"/>
          </w:tcPr>
          <w:p>
            <w:pPr>
              <w:spacing w:before="20" w:after="20"/>
            </w:pPr>
            <w:r/>
            <w:r>
              <w:rPr>
                <w:rFonts w:ascii="Verdana" w:hAnsi="Verdana"/>
                <w:b w:val="0"/>
                <w:sz w:val="16"/>
              </w:rPr>
              <w:t>Radiometer sensed surface type</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0 08 079</w:t>
            </w:r>
          </w:p>
        </w:tc>
        <w:tc>
          <w:tcPr>
            <w:tcW w:type="dxa" w:w="1514"/>
          </w:tcPr>
          <w:p>
            <w:pPr>
              <w:spacing w:before="20" w:after="20"/>
            </w:pPr>
            <w:r/>
            <w:r>
              <w:rPr>
                <w:rFonts w:ascii="Verdana" w:hAnsi="Verdana"/>
                <w:b w:val="0"/>
                <w:sz w:val="16"/>
              </w:rPr>
              <w:t>Product status</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0 08 080</w:t>
            </w:r>
          </w:p>
        </w:tc>
        <w:tc>
          <w:tcPr>
            <w:tcW w:type="dxa" w:w="1514"/>
          </w:tcPr>
          <w:p>
            <w:pPr>
              <w:spacing w:before="20" w:after="20"/>
            </w:pPr>
            <w:r/>
            <w:r>
              <w:rPr>
                <w:rFonts w:ascii="Verdana" w:hAnsi="Verdana"/>
                <w:b w:val="0"/>
                <w:sz w:val="16"/>
              </w:rPr>
              <w:t>Qualifier for GTSPP quality flag</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0 08 081</w:t>
            </w:r>
          </w:p>
        </w:tc>
        <w:tc>
          <w:tcPr>
            <w:tcW w:type="dxa" w:w="1514"/>
          </w:tcPr>
          <w:p>
            <w:pPr>
              <w:spacing w:before="20" w:after="20"/>
            </w:pPr>
            <w:r/>
            <w:r>
              <w:rPr>
                <w:rFonts w:ascii="Verdana" w:hAnsi="Verdana"/>
                <w:b w:val="0"/>
                <w:sz w:val="16"/>
              </w:rPr>
              <w:t>Type of equipment</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0 08 082</w:t>
            </w:r>
          </w:p>
        </w:tc>
        <w:tc>
          <w:tcPr>
            <w:tcW w:type="dxa" w:w="1514"/>
          </w:tcPr>
          <w:p>
            <w:pPr>
              <w:spacing w:before="20" w:after="20"/>
            </w:pPr>
            <w:r/>
            <w:r>
              <w:rPr>
                <w:rFonts w:ascii="Verdana" w:hAnsi="Verdana"/>
                <w:b w:val="0"/>
                <w:sz w:val="16"/>
              </w:rPr>
              <w:t>Modification of sensor height to another value</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0 08 083</w:t>
            </w:r>
          </w:p>
        </w:tc>
        <w:tc>
          <w:tcPr>
            <w:tcW w:type="dxa" w:w="1514"/>
          </w:tcPr>
          <w:p>
            <w:pPr>
              <w:spacing w:before="20" w:after="20"/>
            </w:pPr>
            <w:r/>
            <w:r>
              <w:rPr>
                <w:rFonts w:ascii="Verdana" w:hAnsi="Verdana"/>
                <w:b w:val="0"/>
                <w:sz w:val="16"/>
              </w:rPr>
              <w:t>Nominal value indicator</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0 08 085</w:t>
            </w:r>
          </w:p>
        </w:tc>
        <w:tc>
          <w:tcPr>
            <w:tcW w:type="dxa" w:w="1514"/>
          </w:tcPr>
          <w:p>
            <w:pPr>
              <w:spacing w:before="20" w:after="20"/>
            </w:pPr>
            <w:r/>
            <w:r>
              <w:rPr>
                <w:rFonts w:ascii="Verdana" w:hAnsi="Verdana"/>
                <w:b w:val="0"/>
                <w:sz w:val="16"/>
              </w:rPr>
              <w:t>Beam identifier</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0 08 086</w:t>
            </w:r>
          </w:p>
        </w:tc>
        <w:tc>
          <w:tcPr>
            <w:tcW w:type="dxa" w:w="1514"/>
          </w:tcPr>
          <w:p>
            <w:pPr>
              <w:spacing w:before="20" w:after="20"/>
            </w:pPr>
            <w:r/>
            <w:r>
              <w:rPr>
                <w:rFonts w:ascii="Verdana" w:hAnsi="Verdana"/>
                <w:b w:val="0"/>
                <w:sz w:val="16"/>
              </w:rPr>
              <w:t>Vertical significance for NWP</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Flag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0 08 087</w:t>
            </w:r>
          </w:p>
        </w:tc>
        <w:tc>
          <w:tcPr>
            <w:tcW w:type="dxa" w:w="1514"/>
          </w:tcPr>
          <w:p>
            <w:pPr>
              <w:spacing w:before="20" w:after="20"/>
            </w:pPr>
            <w:r/>
            <w:r>
              <w:rPr>
                <w:rFonts w:ascii="Verdana" w:hAnsi="Verdana"/>
                <w:b w:val="0"/>
                <w:sz w:val="16"/>
              </w:rPr>
              <w:t>Corner position of observation</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0 08 088</w:t>
            </w:r>
          </w:p>
        </w:tc>
        <w:tc>
          <w:tcPr>
            <w:tcW w:type="dxa" w:w="1514"/>
          </w:tcPr>
          <w:p>
            <w:pPr>
              <w:spacing w:before="20" w:after="20"/>
            </w:pPr>
            <w:r/>
            <w:r>
              <w:rPr>
                <w:rFonts w:ascii="Verdana" w:hAnsi="Verdana"/>
                <w:b w:val="0"/>
                <w:sz w:val="16"/>
              </w:rPr>
              <w:t>Map significance</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0 08 090</w:t>
            </w:r>
          </w:p>
        </w:tc>
        <w:tc>
          <w:tcPr>
            <w:tcW w:type="dxa" w:w="1514"/>
          </w:tcPr>
          <w:p>
            <w:pPr>
              <w:spacing w:before="20" w:after="20"/>
            </w:pPr>
            <w:r/>
            <w:r>
              <w:rPr>
                <w:rFonts w:ascii="Verdana" w:hAnsi="Verdana"/>
                <w:b w:val="0"/>
                <w:sz w:val="16"/>
              </w:rPr>
              <w:t>Decimal scale of following significands</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-127</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51: The number of missing years within the reference period from the calculation of normal for mean extreme air temperature should be given, if available, for both the calculation of normal maximum temperature and for the calculation of normal minimum temperature in addition to the number of missing years for the extreme air temperatures reported under 0 08 020 preceded by 0 08 050 in which figure 3 is used.</w:t>
            </w:r>
          </w:p>
        </w:tc>
      </w:tr>
      <w:tr>
        <w:trPr>
          <w:cantSplit/>
        </w:trPr>
        <w:tc>
          <w:tcPr>
            <w:tcW w:type="dxa" w:w="1514"/>
          </w:tcPr>
          <w:p>
            <w:pPr>
              <w:spacing w:before="20" w:after="20"/>
            </w:pPr>
            <w:r/>
            <w:r>
              <w:rPr>
                <w:rFonts w:ascii="Verdana" w:hAnsi="Verdana"/>
                <w:b w:val="0"/>
                <w:sz w:val="16"/>
              </w:rPr>
              <w:t>0 08 091</w:t>
            </w:r>
          </w:p>
        </w:tc>
        <w:tc>
          <w:tcPr>
            <w:tcW w:type="dxa" w:w="1514"/>
          </w:tcPr>
          <w:p>
            <w:pPr>
              <w:spacing w:before="20" w:after="20"/>
            </w:pPr>
            <w:r/>
            <w:r>
              <w:rPr>
                <w:rFonts w:ascii="Verdana" w:hAnsi="Verdana"/>
                <w:b w:val="0"/>
                <w:sz w:val="16"/>
              </w:rPr>
              <w:t>Coordinates significance</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0 08 092</w:t>
            </w:r>
          </w:p>
        </w:tc>
        <w:tc>
          <w:tcPr>
            <w:tcW w:type="dxa" w:w="1514"/>
          </w:tcPr>
          <w:p>
            <w:pPr>
              <w:spacing w:before="20" w:after="20"/>
            </w:pPr>
            <w:r/>
            <w:r>
              <w:rPr>
                <w:rFonts w:ascii="Verdana" w:hAnsi="Verdana"/>
                <w:b w:val="0"/>
                <w:sz w:val="16"/>
              </w:rPr>
              <w:t>Measurement uncertainty expression</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0 08 093</w:t>
            </w:r>
          </w:p>
        </w:tc>
        <w:tc>
          <w:tcPr>
            <w:tcW w:type="dxa" w:w="1514"/>
          </w:tcPr>
          <w:p>
            <w:pPr>
              <w:spacing w:before="20" w:after="20"/>
            </w:pPr>
            <w:r/>
            <w:r>
              <w:rPr>
                <w:rFonts w:ascii="Verdana" w:hAnsi="Verdana"/>
                <w:b w:val="0"/>
                <w:sz w:val="16"/>
              </w:rPr>
              <w:t>Measurement uncertainty significance</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0 08 094</w:t>
            </w:r>
          </w:p>
        </w:tc>
        <w:tc>
          <w:tcPr>
            <w:tcW w:type="dxa" w:w="1514"/>
          </w:tcPr>
          <w:p>
            <w:pPr>
              <w:spacing w:before="20" w:after="20"/>
            </w:pPr>
            <w:r/>
            <w:r>
              <w:rPr>
                <w:rFonts w:ascii="Verdana" w:hAnsi="Verdana"/>
                <w:b w:val="0"/>
                <w:sz w:val="16"/>
              </w:rPr>
              <w:t>Method used to calculate the average daily temperature</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0 08 095</w:t>
            </w:r>
          </w:p>
        </w:tc>
        <w:tc>
          <w:tcPr>
            <w:tcW w:type="dxa" w:w="1514"/>
          </w:tcPr>
          <w:p>
            <w:pPr>
              <w:spacing w:before="20" w:after="20"/>
            </w:pPr>
            <w:r/>
            <w:r>
              <w:rPr>
                <w:rFonts w:ascii="Verdana" w:hAnsi="Verdana"/>
                <w:b w:val="0"/>
                <w:sz w:val="16"/>
              </w:rPr>
              <w:t>Siting and measurement quality classification for temperature</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0 08 096</w:t>
            </w:r>
          </w:p>
        </w:tc>
        <w:tc>
          <w:tcPr>
            <w:tcW w:type="dxa" w:w="1514"/>
          </w:tcPr>
          <w:p>
            <w:pPr>
              <w:spacing w:before="20" w:after="20"/>
            </w:pPr>
            <w:r/>
            <w:r>
              <w:rPr>
                <w:rFonts w:ascii="Verdana" w:hAnsi="Verdana"/>
                <w:b w:val="0"/>
                <w:sz w:val="16"/>
              </w:rPr>
              <w:t>Siting and measurement quality classification for precipitation</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0 08 097</w:t>
            </w:r>
          </w:p>
        </w:tc>
        <w:tc>
          <w:tcPr>
            <w:tcW w:type="dxa" w:w="1514"/>
          </w:tcPr>
          <w:p>
            <w:pPr>
              <w:spacing w:before="20" w:after="20"/>
            </w:pPr>
            <w:r/>
            <w:r>
              <w:rPr>
                <w:rFonts w:ascii="Verdana" w:hAnsi="Verdana"/>
                <w:b w:val="0"/>
                <w:sz w:val="16"/>
              </w:rPr>
              <w:t>Method used to calculate the average instrument temperature</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0 08 098</w:t>
            </w:r>
          </w:p>
        </w:tc>
        <w:tc>
          <w:tcPr>
            <w:tcW w:type="dxa" w:w="1514"/>
          </w:tcPr>
          <w:p>
            <w:pPr>
              <w:spacing w:before="20" w:after="20"/>
            </w:pPr>
            <w:r/>
            <w:r>
              <w:rPr>
                <w:rFonts w:ascii="Verdana" w:hAnsi="Verdana"/>
                <w:b w:val="0"/>
                <w:sz w:val="16"/>
              </w:rPr>
              <w:t>Source of temperature measurement</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0 08 099</w:t>
            </w:r>
          </w:p>
        </w:tc>
        <w:tc>
          <w:tcPr>
            <w:tcW w:type="dxa" w:w="1514"/>
          </w:tcPr>
          <w:p>
            <w:pPr>
              <w:spacing w:before="20" w:after="20"/>
            </w:pPr>
            <w:r/>
            <w:r>
              <w:rPr>
                <w:rFonts w:ascii="Verdana" w:hAnsi="Verdana"/>
                <w:b w:val="0"/>
                <w:sz w:val="16"/>
              </w:rPr>
              <w:t>Sensing direction</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0 08 100</w:t>
            </w:r>
          </w:p>
        </w:tc>
        <w:tc>
          <w:tcPr>
            <w:tcW w:type="dxa" w:w="1514"/>
          </w:tcPr>
          <w:p>
            <w:pPr>
              <w:spacing w:before="20" w:after="20"/>
            </w:pPr>
            <w:r/>
            <w:r>
              <w:rPr>
                <w:rFonts w:ascii="Verdana" w:hAnsi="Verdana"/>
                <w:b w:val="0"/>
                <w:sz w:val="16"/>
              </w:rPr>
              <w:t>Type of following observation value</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r>
          </w:p>
        </w:tc>
        <w:tc>
          <w:tcPr>
            <w:tcW w:type="dxa" w:w="1514"/>
          </w:tcPr>
          <w:p>
            <w:pPr>
              <w:spacing w:before="20" w:after="20"/>
            </w:pPr>
            <w:r/>
            <w:r>
              <w:rPr>
                <w:rFonts w:ascii="Verdana" w:hAnsi="Verdana"/>
                <w:b w:val="0"/>
                <w:sz w:val="16"/>
              </w:rPr>
            </w:r>
          </w:p>
        </w:tc>
        <w:tc>
          <w:tcPr>
            <w:tcW w:type="dxa" w:w="1514"/>
          </w:tcPr>
          <w:p>
            <w:pPr>
              <w:spacing w:before="20" w:after="20"/>
            </w:pPr>
            <w:r/>
            <w:r>
              <w:rPr>
                <w:rFonts w:ascii="Verdana" w:hAnsi="Verdana"/>
                <w:b w:val="0"/>
                <w:sz w:val="16"/>
              </w:rPr>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0 08 101</w:t>
            </w:r>
          </w:p>
        </w:tc>
        <w:tc>
          <w:tcPr>
            <w:tcW w:type="dxa" w:w="1514"/>
          </w:tcPr>
          <w:p>
            <w:pPr>
              <w:spacing w:before="20" w:after="20"/>
            </w:pPr>
            <w:r/>
            <w:r>
              <w:rPr>
                <w:rFonts w:ascii="Verdana" w:hAnsi="Verdana"/>
                <w:b w:val="0"/>
                <w:sz w:val="16"/>
              </w:rPr>
              <w:t>Phase of balloon flight</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r>
          </w:p>
        </w:tc>
        <w:tc>
          <w:tcPr>
            <w:tcW w:type="dxa" w:w="1514"/>
          </w:tcPr>
          <w:p>
            <w:pPr>
              <w:spacing w:before="20" w:after="20"/>
            </w:pPr>
            <w:r/>
            <w:r>
              <w:rPr>
                <w:rFonts w:ascii="Verdana" w:hAnsi="Verdana"/>
                <w:b w:val="0"/>
                <w:sz w:val="16"/>
              </w:rPr>
            </w:r>
          </w:p>
        </w:tc>
        <w:tc>
          <w:tcPr>
            <w:tcW w:type="dxa" w:w="1514"/>
          </w:tcPr>
          <w:p>
            <w:pPr>
              <w:spacing w:before="20" w:after="20"/>
            </w:pPr>
            <w:r/>
            <w:r>
              <w:rPr>
                <w:rFonts w:ascii="Verdana" w:hAnsi="Verdana"/>
                <w:b w:val="0"/>
                <w:sz w:val="16"/>
              </w:rPr>
            </w:r>
          </w:p>
        </w:tc>
        <w:tc>
          <w:tcPr>
            <w:tcW w:type="dxa" w:w="1514"/>
          </w:tcPr>
          <w:p>
            <w:pPr>
              <w:spacing w:before="20" w:after="20"/>
            </w:pPr>
            <w:r/>
            <w:r>
              <w:rPr>
                <w:rFonts w:ascii="Verdana" w:hAnsi="Verdana"/>
                <w:b w:val="0"/>
                <w:sz w:val="16"/>
              </w:rPr>
            </w:r>
          </w:p>
        </w:tc>
      </w:tr>
    </w:tbl>
    <w:p/>
    <w:p>
      <w:r>
        <w:rPr>
          <w:rFonts w:ascii="Verdana" w:hAnsi="Verdana"/>
          <w:i/>
          <w:sz w:val="14"/>
        </w:rPr>
        <w:t>Note 25: A previously defined significance may be cancelled by transmitting a "missing" from the appropriate code or flag table.</w:t>
      </w:r>
    </w:p>
    <w:p>
      <w:r>
        <w:rPr>
          <w:rFonts w:ascii="Verdana" w:hAnsi="Verdana"/>
          <w:i/>
          <w:sz w:val="14"/>
        </w:rPr>
        <w:t>Note 179: Where values are accumulated or averaged (for example over a time period), the total number of values from which the accumulated or averaged values are obtained may be represented using reference 0 08 022.</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