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15: Physical/chemical constituents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0 15 001</w:t>
            </w:r>
          </w:p>
        </w:tc>
        <w:tc>
          <w:tcPr>
            <w:tcW w:type="dxa" w:w="1514"/>
          </w:tcPr>
          <w:p>
            <w:pPr>
              <w:spacing w:before="20" w:after="20"/>
            </w:pPr>
            <w:r/>
            <w:r>
              <w:rPr>
                <w:rFonts w:ascii="Verdana" w:hAnsi="Verdana"/>
                <w:b w:val="0"/>
                <w:sz w:val="16"/>
              </w:rPr>
              <w:t>Total ozone</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0 15 002</w:t>
            </w:r>
          </w:p>
        </w:tc>
        <w:tc>
          <w:tcPr>
            <w:tcW w:type="dxa" w:w="1514"/>
          </w:tcPr>
          <w:p>
            <w:pPr>
              <w:spacing w:before="20" w:after="20"/>
            </w:pPr>
            <w:r/>
            <w:r>
              <w:rPr>
                <w:rFonts w:ascii="Verdana" w:hAnsi="Verdana"/>
                <w:b w:val="0"/>
                <w:sz w:val="16"/>
              </w:rPr>
              <w:t>Air mass (slant path at 22 km)</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0 15 003</w:t>
            </w:r>
          </w:p>
        </w:tc>
        <w:tc>
          <w:tcPr>
            <w:tcW w:type="dxa" w:w="1514"/>
          </w:tcPr>
          <w:p>
            <w:pPr>
              <w:spacing w:before="20" w:after="20"/>
            </w:pPr>
            <w:r/>
            <w:r>
              <w:rPr>
                <w:rFonts w:ascii="Verdana" w:hAnsi="Verdana"/>
                <w:b w:val="0"/>
                <w:sz w:val="16"/>
              </w:rPr>
              <w:t>Measured ozone partial pressure (sounding)</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nbar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 3 04 035 is deprecated.</w:t>
            </w:r>
          </w:p>
        </w:tc>
      </w:tr>
      <w:tr>
        <w:trPr>
          <w:cantSplit/>
        </w:trPr>
        <w:tc>
          <w:tcPr>
            <w:tcW w:type="dxa" w:w="1514"/>
          </w:tcPr>
          <w:p>
            <w:pPr>
              <w:spacing w:before="20" w:after="20"/>
            </w:pPr>
            <w:r/>
            <w:r>
              <w:rPr>
                <w:rFonts w:ascii="Verdana" w:hAnsi="Verdana"/>
                <w:b w:val="0"/>
                <w:sz w:val="16"/>
              </w:rPr>
              <w:t>0 15 004</w:t>
            </w:r>
          </w:p>
        </w:tc>
        <w:tc>
          <w:tcPr>
            <w:tcW w:type="dxa" w:w="1514"/>
          </w:tcPr>
          <w:p>
            <w:pPr>
              <w:spacing w:before="20" w:after="20"/>
            </w:pPr>
            <w:r/>
            <w:r>
              <w:rPr>
                <w:rFonts w:ascii="Verdana" w:hAnsi="Verdana"/>
                <w:b w:val="0"/>
                <w:sz w:val="16"/>
              </w:rPr>
              <w:t>Ozone sounding correction factor (CF)</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 3 07 082 is deprecated.</w:t>
            </w:r>
          </w:p>
        </w:tc>
      </w:tr>
      <w:tr>
        <w:trPr>
          <w:cantSplit/>
        </w:trPr>
        <w:tc>
          <w:tcPr>
            <w:tcW w:type="dxa" w:w="1514"/>
          </w:tcPr>
          <w:p>
            <w:pPr>
              <w:spacing w:before="20" w:after="20"/>
            </w:pPr>
            <w:r/>
            <w:r>
              <w:rPr>
                <w:rFonts w:ascii="Verdana" w:hAnsi="Verdana"/>
                <w:b w:val="0"/>
                <w:sz w:val="16"/>
              </w:rPr>
              <w:t>0 15 005</w:t>
            </w:r>
          </w:p>
        </w:tc>
        <w:tc>
          <w:tcPr>
            <w:tcW w:type="dxa" w:w="1514"/>
          </w:tcPr>
          <w:p>
            <w:pPr>
              <w:spacing w:before="20" w:after="20"/>
            </w:pPr>
            <w:r/>
            <w:r>
              <w:rPr>
                <w:rFonts w:ascii="Verdana" w:hAnsi="Verdana"/>
                <w:b w:val="0"/>
                <w:sz w:val="16"/>
              </w:rPr>
              <w:t>Ozone p</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3: 3 10 027 is deprecated.</w:t>
            </w:r>
          </w:p>
        </w:tc>
      </w:tr>
      <w:tr>
        <w:trPr>
          <w:cantSplit/>
        </w:trPr>
        <w:tc>
          <w:tcPr>
            <w:tcW w:type="dxa" w:w="1514"/>
          </w:tcPr>
          <w:p>
            <w:pPr>
              <w:spacing w:before="20" w:after="20"/>
            </w:pPr>
            <w:r/>
            <w:r>
              <w:rPr>
                <w:rFonts w:ascii="Verdana" w:hAnsi="Verdana"/>
                <w:b w:val="0"/>
                <w:sz w:val="16"/>
              </w:rPr>
              <w:t>0 15 006</w:t>
            </w:r>
          </w:p>
        </w:tc>
        <w:tc>
          <w:tcPr>
            <w:tcW w:type="dxa" w:w="1514"/>
          </w:tcPr>
          <w:p>
            <w:pPr>
              <w:spacing w:before="20" w:after="20"/>
            </w:pPr>
            <w:r/>
            <w:r>
              <w:rPr>
                <w:rFonts w:ascii="Verdana" w:hAnsi="Verdana"/>
                <w:b w:val="0"/>
                <w:sz w:val="16"/>
              </w:rPr>
              <w:t>Log10 of number density of atmosphere</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1800000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0 15 007</w:t>
            </w:r>
          </w:p>
        </w:tc>
        <w:tc>
          <w:tcPr>
            <w:tcW w:type="dxa" w:w="1514"/>
          </w:tcPr>
          <w:p>
            <w:pPr>
              <w:spacing w:before="20" w:after="20"/>
            </w:pPr>
            <w:r/>
            <w:r>
              <w:rPr>
                <w:rFonts w:ascii="Verdana" w:hAnsi="Verdana"/>
                <w:b w:val="0"/>
                <w:sz w:val="16"/>
              </w:rPr>
              <w:t>Estimated amount of chemical constituent</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0 15 008</w:t>
            </w:r>
          </w:p>
        </w:tc>
        <w:tc>
          <w:tcPr>
            <w:tcW w:type="dxa" w:w="1514"/>
          </w:tcPr>
          <w:p>
            <w:pPr>
              <w:spacing w:before="20" w:after="20"/>
            </w:pPr>
            <w:r/>
            <w:r>
              <w:rPr>
                <w:rFonts w:ascii="Verdana" w:hAnsi="Verdana"/>
                <w:b w:val="0"/>
                <w:sz w:val="16"/>
              </w:rPr>
              <w:t>Significand of volumetric mixing ratio</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0 15 009</w:t>
            </w:r>
          </w:p>
        </w:tc>
        <w:tc>
          <w:tcPr>
            <w:tcW w:type="dxa" w:w="1514"/>
          </w:tcPr>
          <w:p>
            <w:pPr>
              <w:spacing w:before="20" w:after="20"/>
            </w:pPr>
            <w:r/>
            <w:r>
              <w:rPr>
                <w:rFonts w:ascii="Verdana" w:hAnsi="Verdana"/>
                <w:b w:val="0"/>
                <w:sz w:val="16"/>
              </w:rPr>
              <w:t>Log10 of number density of ozone</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1200000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log(m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0 15 011</w:t>
            </w:r>
          </w:p>
        </w:tc>
        <w:tc>
          <w:tcPr>
            <w:tcW w:type="dxa" w:w="1514"/>
          </w:tcPr>
          <w:p>
            <w:pPr>
              <w:spacing w:before="20" w:after="20"/>
            </w:pPr>
            <w:r/>
            <w:r>
              <w:rPr>
                <w:rFonts w:ascii="Verdana" w:hAnsi="Verdana"/>
                <w:b w:val="0"/>
                <w:sz w:val="16"/>
              </w:rPr>
              <w:t>Log10 of integrated electron density</w:t>
            </w:r>
          </w:p>
        </w:tc>
        <w:tc>
          <w:tcPr>
            <w:tcW w:type="dxa" w:w="1514"/>
          </w:tcPr>
          <w:p>
            <w:pPr>
              <w:spacing w:before="20" w:after="20"/>
            </w:pPr>
            <w:r/>
            <w:r>
              <w:rPr>
                <w:rFonts w:ascii="Verdana" w:hAnsi="Verdana"/>
                <w:sz w:val="16"/>
              </w:rPr>
              <w:t>log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14000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log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0 15 012</w:t>
            </w:r>
          </w:p>
        </w:tc>
        <w:tc>
          <w:tcPr>
            <w:tcW w:type="dxa" w:w="1514"/>
          </w:tcPr>
          <w:p>
            <w:pPr>
              <w:spacing w:before="20" w:after="20"/>
            </w:pPr>
            <w:r/>
            <w:r>
              <w:rPr>
                <w:rFonts w:ascii="Verdana" w:hAnsi="Verdana"/>
                <w:b w:val="0"/>
                <w:sz w:val="16"/>
              </w:rPr>
              <w:t>Total electron count per square metre</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0 15 015</w:t>
            </w:r>
          </w:p>
        </w:tc>
        <w:tc>
          <w:tcPr>
            <w:tcW w:type="dxa" w:w="1514"/>
          </w:tcPr>
          <w:p>
            <w:pPr>
              <w:spacing w:before="20" w:after="20"/>
            </w:pPr>
            <w:r/>
            <w:r>
              <w:rPr>
                <w:rFonts w:ascii="Verdana" w:hAnsi="Verdana"/>
                <w:b w:val="0"/>
                <w:sz w:val="16"/>
              </w:rPr>
              <w:t>Maximum image spectral component before normalization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0 15 020</w:t>
            </w:r>
          </w:p>
        </w:tc>
        <w:tc>
          <w:tcPr>
            <w:tcW w:type="dxa" w:w="1514"/>
          </w:tcPr>
          <w:p>
            <w:pPr>
              <w:spacing w:before="20" w:after="20"/>
            </w:pPr>
            <w:r/>
            <w:r>
              <w:rPr>
                <w:rFonts w:ascii="Verdana" w:hAnsi="Verdana"/>
                <w:b w:val="0"/>
                <w:sz w:val="16"/>
              </w:rPr>
              <w:t>Integrated ozone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0 15 021</w:t>
            </w:r>
          </w:p>
        </w:tc>
        <w:tc>
          <w:tcPr>
            <w:tcW w:type="dxa" w:w="1514"/>
          </w:tcPr>
          <w:p>
            <w:pPr>
              <w:spacing w:before="20" w:after="20"/>
            </w:pPr>
            <w:r/>
            <w:r>
              <w:rPr>
                <w:rFonts w:ascii="Verdana" w:hAnsi="Verdana"/>
                <w:b w:val="0"/>
                <w:sz w:val="16"/>
              </w:rPr>
              <w:t>Integrated mass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0 15 022</w:t>
            </w:r>
          </w:p>
        </w:tc>
        <w:tc>
          <w:tcPr>
            <w:tcW w:type="dxa" w:w="1514"/>
          </w:tcPr>
          <w:p>
            <w:pPr>
              <w:spacing w:before="20" w:after="20"/>
            </w:pPr>
            <w:r/>
            <w:r>
              <w:rPr>
                <w:rFonts w:ascii="Verdana" w:hAnsi="Verdana"/>
                <w:b w:val="0"/>
                <w:sz w:val="16"/>
              </w:rPr>
              <w:t>Extended integrated mass density</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-100000000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0 15 024</w:t>
            </w:r>
          </w:p>
        </w:tc>
        <w:tc>
          <w:tcPr>
            <w:tcW w:type="dxa" w:w="1514"/>
          </w:tcPr>
          <w:p>
            <w:pPr>
              <w:spacing w:before="20" w:after="20"/>
            </w:pPr>
            <w:r/>
            <w:r>
              <w:rPr>
                <w:rFonts w:ascii="Verdana" w:hAnsi="Verdana"/>
                <w:b w:val="0"/>
                <w:sz w:val="16"/>
              </w:rPr>
              <w:t>Optical depth</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0 15 025</w:t>
            </w:r>
          </w:p>
        </w:tc>
        <w:tc>
          <w:tcPr>
            <w:tcW w:type="dxa" w:w="1514"/>
          </w:tcPr>
          <w:p>
            <w:pPr>
              <w:spacing w:before="20" w:after="20"/>
            </w:pPr>
            <w:r/>
            <w:r>
              <w:rPr>
                <w:rFonts w:ascii="Verdana" w:hAnsi="Verdana"/>
                <w:b w:val="0"/>
                <w:sz w:val="16"/>
              </w:rPr>
              <w:t>Type of pollutant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0 15 026</w:t>
            </w:r>
          </w:p>
        </w:tc>
        <w:tc>
          <w:tcPr>
            <w:tcW w:type="dxa" w:w="1514"/>
          </w:tcPr>
          <w:p>
            <w:pPr>
              <w:spacing w:before="20" w:after="20"/>
            </w:pPr>
            <w:r/>
            <w:r>
              <w:rPr>
                <w:rFonts w:ascii="Verdana" w:hAnsi="Verdana"/>
                <w:b w:val="0"/>
                <w:sz w:val="16"/>
              </w:rPr>
              <w:t>Concentration of pollutant (mol mol-1)</w:t>
            </w:r>
          </w:p>
        </w:tc>
        <w:tc>
          <w:tcPr>
            <w:tcW w:type="dxa" w:w="1514"/>
          </w:tcPr>
          <w:p>
            <w:pPr>
              <w:spacing w:before="20" w:after="20"/>
            </w:pPr>
            <w:r/>
            <w:r>
              <w:rPr>
                <w:rFonts w:ascii="Verdana" w:hAnsi="Verdana"/>
                <w:sz w:val="16"/>
              </w:rPr>
              <w:t>mol/mol</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mol/mol</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0 15 027</w:t>
            </w:r>
          </w:p>
        </w:tc>
        <w:tc>
          <w:tcPr>
            <w:tcW w:type="dxa" w:w="1514"/>
          </w:tcPr>
          <w:p>
            <w:pPr>
              <w:spacing w:before="20" w:after="20"/>
            </w:pPr>
            <w:r/>
            <w:r>
              <w:rPr>
                <w:rFonts w:ascii="Verdana" w:hAnsi="Verdana"/>
                <w:b w:val="0"/>
                <w:sz w:val="16"/>
              </w:rPr>
              <w:t>Concentration of pollutant (kg m-3)</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0 15 028</w:t>
            </w:r>
          </w:p>
        </w:tc>
        <w:tc>
          <w:tcPr>
            <w:tcW w:type="dxa" w:w="1514"/>
          </w:tcPr>
          <w:p>
            <w:pPr>
              <w:spacing w:before="20" w:after="20"/>
            </w:pPr>
            <w:r/>
            <w:r>
              <w:rPr>
                <w:rFonts w:ascii="Verdana" w:hAnsi="Verdana"/>
                <w:b w:val="0"/>
                <w:sz w:val="16"/>
              </w:rPr>
              <w:t>Mole fraction of atmospheric constituent/pollutant in dry air</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0/00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0 15 029</w:t>
            </w:r>
          </w:p>
        </w:tc>
        <w:tc>
          <w:tcPr>
            <w:tcW w:type="dxa" w:w="1514"/>
          </w:tcPr>
          <w:p>
            <w:pPr>
              <w:spacing w:before="20" w:after="20"/>
            </w:pPr>
            <w:r/>
            <w:r>
              <w:rPr>
                <w:rFonts w:ascii="Verdana" w:hAnsi="Verdana"/>
                <w:b w:val="0"/>
                <w:sz w:val="16"/>
              </w:rPr>
              <w:t>Extinction coefficient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0 15 030</w:t>
            </w:r>
          </w:p>
        </w:tc>
        <w:tc>
          <w:tcPr>
            <w:tcW w:type="dxa" w:w="1514"/>
          </w:tcPr>
          <w:p>
            <w:pPr>
              <w:spacing w:before="20" w:after="20"/>
            </w:pPr>
            <w:r/>
            <w:r>
              <w:rPr>
                <w:rFonts w:ascii="Verdana" w:hAnsi="Verdana"/>
                <w:b w:val="0"/>
                <w:sz w:val="16"/>
              </w:rPr>
              <w:t>Aerosol contamination index</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79: It is recommended to use 3 15 023 instead of 3 15 013.</w:t>
            </w:r>
          </w:p>
        </w:tc>
      </w:tr>
      <w:tr>
        <w:trPr>
          <w:cantSplit/>
        </w:trPr>
        <w:tc>
          <w:tcPr>
            <w:tcW w:type="dxa" w:w="1514"/>
          </w:tcPr>
          <w:p>
            <w:pPr>
              <w:spacing w:before="20" w:after="20"/>
            </w:pPr>
            <w:r/>
            <w:r>
              <w:rPr>
                <w:rFonts w:ascii="Verdana" w:hAnsi="Verdana"/>
                <w:b w:val="0"/>
                <w:sz w:val="16"/>
              </w:rPr>
              <w:t>0 15 031</w:t>
            </w:r>
          </w:p>
        </w:tc>
        <w:tc>
          <w:tcPr>
            <w:tcW w:type="dxa" w:w="1514"/>
          </w:tcPr>
          <w:p>
            <w:pPr>
              <w:spacing w:before="20" w:after="20"/>
            </w:pPr>
            <w:r/>
            <w:r>
              <w:rPr>
                <w:rFonts w:ascii="Verdana" w:hAnsi="Verdana"/>
                <w:b w:val="0"/>
                <w:sz w:val="16"/>
              </w:rPr>
              <w:t>Atmospheric path delay in satellite signal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0 15 032</w:t>
            </w:r>
          </w:p>
        </w:tc>
        <w:tc>
          <w:tcPr>
            <w:tcW w:type="dxa" w:w="1514"/>
          </w:tcPr>
          <w:p>
            <w:pPr>
              <w:spacing w:before="20" w:after="20"/>
            </w:pPr>
            <w:r/>
            <w:r>
              <w:rPr>
                <w:rFonts w:ascii="Verdana" w:hAnsi="Verdana"/>
                <w:b w:val="0"/>
                <w:sz w:val="16"/>
              </w:rPr>
              <w:t>Estimated error in atmospheric 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0 15 033</w:t>
            </w:r>
          </w:p>
        </w:tc>
        <w:tc>
          <w:tcPr>
            <w:tcW w:type="dxa" w:w="1514"/>
          </w:tcPr>
          <w:p>
            <w:pPr>
              <w:spacing w:before="20" w:after="20"/>
            </w:pPr>
            <w:r/>
            <w:r>
              <w:rPr>
                <w:rFonts w:ascii="Verdana" w:hAnsi="Verdana"/>
                <w:b w:val="0"/>
                <w:sz w:val="16"/>
              </w:rPr>
              <w:t>Difference in path delays for limb views at extremes of scan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0 15 034</w:t>
            </w:r>
          </w:p>
        </w:tc>
        <w:tc>
          <w:tcPr>
            <w:tcW w:type="dxa" w:w="1514"/>
          </w:tcPr>
          <w:p>
            <w:pPr>
              <w:spacing w:before="20" w:after="20"/>
            </w:pPr>
            <w:r/>
            <w:r>
              <w:rPr>
                <w:rFonts w:ascii="Verdana" w:hAnsi="Verdana"/>
                <w:b w:val="0"/>
                <w:sz w:val="16"/>
              </w:rPr>
              <w:t>Estimated error in path delay difference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0 15 035</w:t>
            </w:r>
          </w:p>
        </w:tc>
        <w:tc>
          <w:tcPr>
            <w:tcW w:type="dxa" w:w="1514"/>
          </w:tcPr>
          <w:p>
            <w:pPr>
              <w:spacing w:before="20" w:after="20"/>
            </w:pPr>
            <w:r/>
            <w:r>
              <w:rPr>
                <w:rFonts w:ascii="Verdana" w:hAnsi="Verdana"/>
                <w:b w:val="0"/>
                <w:sz w:val="16"/>
              </w:rPr>
              <w:t>Component of zenith path delay due to water vapour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0 15 036</w:t>
            </w:r>
          </w:p>
        </w:tc>
        <w:tc>
          <w:tcPr>
            <w:tcW w:type="dxa" w:w="1514"/>
          </w:tcPr>
          <w:p>
            <w:pPr>
              <w:spacing w:before="20" w:after="20"/>
            </w:pPr>
            <w:r/>
            <w:r>
              <w:rPr>
                <w:rFonts w:ascii="Verdana" w:hAnsi="Verdana"/>
                <w:b w:val="0"/>
                <w:sz w:val="16"/>
              </w:rPr>
              <w:t>Atmospheric refractivity</w:t>
            </w:r>
          </w:p>
        </w:tc>
        <w:tc>
          <w:tcPr>
            <w:tcW w:type="dxa" w:w="1514"/>
          </w:tcPr>
          <w:p>
            <w:pPr>
              <w:spacing w:before="20" w:after="20"/>
            </w:pPr>
            <w:r/>
            <w:r>
              <w:rPr>
                <w:rFonts w:ascii="Verdana" w:hAnsi="Verdana"/>
                <w:sz w:val="16"/>
              </w:rPr>
              <w:t>N units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N units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142: The refractivity, N, is related to the refractive index, n, by the formula N = 106 (n - 1). N is therefore dimensionless but values computed by the formula are by convention described as being in "N units".</w:t>
            </w:r>
          </w:p>
        </w:tc>
      </w:tr>
      <w:tr>
        <w:trPr>
          <w:cantSplit/>
        </w:trPr>
        <w:tc>
          <w:tcPr>
            <w:tcW w:type="dxa" w:w="1514"/>
          </w:tcPr>
          <w:p>
            <w:pPr>
              <w:spacing w:before="20" w:after="20"/>
            </w:pPr>
            <w:r/>
            <w:r>
              <w:rPr>
                <w:rFonts w:ascii="Verdana" w:hAnsi="Verdana"/>
                <w:b w:val="0"/>
                <w:sz w:val="16"/>
              </w:rPr>
              <w:t>0 15 037</w:t>
            </w:r>
          </w:p>
        </w:tc>
        <w:tc>
          <w:tcPr>
            <w:tcW w:type="dxa" w:w="1514"/>
          </w:tcPr>
          <w:p>
            <w:pPr>
              <w:spacing w:before="20" w:after="20"/>
            </w:pPr>
            <w:r/>
            <w:r>
              <w:rPr>
                <w:rFonts w:ascii="Verdana" w:hAnsi="Verdana"/>
                <w:b w:val="0"/>
                <w:sz w:val="16"/>
              </w:rPr>
              <w:t>Bending angle</w:t>
            </w:r>
          </w:p>
        </w:tc>
        <w:tc>
          <w:tcPr>
            <w:tcW w:type="dxa" w:w="1514"/>
          </w:tcPr>
          <w:p>
            <w:pPr>
              <w:spacing w:before="20" w:after="20"/>
            </w:pPr>
            <w:r/>
            <w:r>
              <w:rPr>
                <w:rFonts w:ascii="Verdana" w:hAnsi="Verdana"/>
                <w:sz w:val="16"/>
              </w:rPr>
              <w:t>rad</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rad</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0 15 038</w:t>
            </w:r>
          </w:p>
        </w:tc>
        <w:tc>
          <w:tcPr>
            <w:tcW w:type="dxa" w:w="1514"/>
          </w:tcPr>
          <w:p>
            <w:pPr>
              <w:spacing w:before="20" w:after="20"/>
            </w:pPr>
            <w:r/>
            <w:r>
              <w:rPr>
                <w:rFonts w:ascii="Verdana" w:hAnsi="Verdana"/>
                <w:b w:val="0"/>
                <w:sz w:val="16"/>
              </w:rPr>
              <w:t>Path delay due to neutral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Note 4: Additional descriptors are required to reduce the workload with respect to the station database, e.g. for identification of the federal state and identification of the highway.</w:t>
            </w:r>
          </w:p>
        </w:tc>
      </w:tr>
      <w:tr>
        <w:trPr>
          <w:cantSplit/>
        </w:trPr>
        <w:tc>
          <w:tcPr>
            <w:tcW w:type="dxa" w:w="1514"/>
          </w:tcPr>
          <w:p>
            <w:pPr>
              <w:spacing w:before="20" w:after="20"/>
            </w:pPr>
            <w:r/>
            <w:r>
              <w:rPr>
                <w:rFonts w:ascii="Verdana" w:hAnsi="Verdana"/>
                <w:b w:val="0"/>
                <w:sz w:val="16"/>
              </w:rPr>
              <w:t>0 15 039</w:t>
            </w:r>
          </w:p>
        </w:tc>
        <w:tc>
          <w:tcPr>
            <w:tcW w:type="dxa" w:w="1514"/>
          </w:tcPr>
          <w:p>
            <w:pPr>
              <w:spacing w:before="20" w:after="20"/>
            </w:pPr>
            <w:r/>
            <w:r>
              <w:rPr>
                <w:rFonts w:ascii="Verdana" w:hAnsi="Verdana"/>
                <w:b w:val="0"/>
                <w:sz w:val="16"/>
              </w:rPr>
              <w:t>Estimated error in neutral atmosphere 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0 15 041</w:t>
            </w:r>
          </w:p>
        </w:tc>
        <w:tc>
          <w:tcPr>
            <w:tcW w:type="dxa" w:w="1514"/>
          </w:tcPr>
          <w:p>
            <w:pPr>
              <w:spacing w:before="20" w:after="20"/>
            </w:pPr>
            <w:r/>
            <w:r>
              <w:rPr>
                <w:rFonts w:ascii="Verdana" w:hAnsi="Verdana"/>
                <w:b w:val="0"/>
                <w:sz w:val="16"/>
              </w:rPr>
              <w:t>Sulphur dioxide index</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78: Within RA IV, the maximum temperature at 1200 UTC is reported for the previous calendar day (i.e. the ending time of the period is not equal to the nominal time of the report). To construct the required time range, descriptor 0 04 024 has to be included two times. If the period ends at the nominal time of the report, value of the second 0 04 024 shall be set to 0</w:t>
            </w:r>
          </w:p>
        </w:tc>
      </w:tr>
      <w:tr>
        <w:trPr>
          <w:cantSplit/>
        </w:trPr>
        <w:tc>
          <w:tcPr>
            <w:tcW w:type="dxa" w:w="1514"/>
          </w:tcPr>
          <w:p>
            <w:pPr>
              <w:spacing w:before="20" w:after="20"/>
            </w:pPr>
            <w:r/>
            <w:r>
              <w:rPr>
                <w:rFonts w:ascii="Verdana" w:hAnsi="Verdana"/>
                <w:b w:val="0"/>
                <w:sz w:val="16"/>
              </w:rPr>
              <w:t>0 15 042</w:t>
            </w:r>
          </w:p>
        </w:tc>
        <w:tc>
          <w:tcPr>
            <w:tcW w:type="dxa" w:w="1514"/>
          </w:tcPr>
          <w:p>
            <w:pPr>
              <w:spacing w:before="20" w:after="20"/>
            </w:pPr>
            <w:r/>
            <w:r>
              <w:rPr>
                <w:rFonts w:ascii="Verdana" w:hAnsi="Verdana"/>
                <w:b w:val="0"/>
                <w:sz w:val="16"/>
              </w:rPr>
              <w:t>Reflectance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0 15 043</w:t>
            </w:r>
          </w:p>
        </w:tc>
        <w:tc>
          <w:tcPr>
            <w:tcW w:type="dxa" w:w="1514"/>
          </w:tcPr>
          <w:p>
            <w:pPr>
              <w:spacing w:before="20" w:after="20"/>
            </w:pPr>
            <w:r/>
            <w:r>
              <w:rPr>
                <w:rFonts w:ascii="Verdana" w:hAnsi="Verdana"/>
                <w:b w:val="0"/>
                <w:sz w:val="16"/>
              </w:rPr>
              <w:t>Number of averaging kernel layers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0 15 044</w:t>
            </w:r>
          </w:p>
        </w:tc>
        <w:tc>
          <w:tcPr>
            <w:tcW w:type="dxa" w:w="1514"/>
          </w:tcPr>
          <w:p>
            <w:pPr>
              <w:spacing w:before="20" w:after="20"/>
            </w:pPr>
            <w:r/>
            <w:r>
              <w:rPr>
                <w:rFonts w:ascii="Verdana" w:hAnsi="Verdana"/>
                <w:b w:val="0"/>
                <w:sz w:val="16"/>
              </w:rPr>
              <w:t>Averaging kernel value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-5000000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0 15 045</w:t>
            </w:r>
          </w:p>
        </w:tc>
        <w:tc>
          <w:tcPr>
            <w:tcW w:type="dxa" w:w="1514"/>
          </w:tcPr>
          <w:p>
            <w:pPr>
              <w:spacing w:before="20" w:after="20"/>
            </w:pPr>
            <w:r/>
            <w:r>
              <w:rPr>
                <w:rFonts w:ascii="Verdana" w:hAnsi="Verdana"/>
                <w:b w:val="0"/>
                <w:sz w:val="16"/>
              </w:rPr>
              <w:t>Sulphur dioxide</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DU</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1514"/>
          </w:tcPr>
          <w:p>
            <w:pPr>
              <w:spacing w:before="20" w:after="20"/>
            </w:pPr>
            <w:r/>
            <w:r>
              <w:rPr>
                <w:rFonts w:ascii="Verdana" w:hAnsi="Verdana"/>
                <w:b w:val="0"/>
                <w:sz w:val="16"/>
              </w:rPr>
              <w:t>0 15 046</w:t>
            </w:r>
          </w:p>
        </w:tc>
        <w:tc>
          <w:tcPr>
            <w:tcW w:type="dxa" w:w="1514"/>
          </w:tcPr>
          <w:p>
            <w:pPr>
              <w:spacing w:before="20" w:after="20"/>
            </w:pPr>
            <w:r/>
            <w:r>
              <w:rPr>
                <w:rFonts w:ascii="Verdana" w:hAnsi="Verdana"/>
                <w:b w:val="0"/>
                <w:sz w:val="16"/>
              </w:rPr>
              <w:t>Volcano contamination index</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80: For a discussion of 'Forecast indices from ground-based microwave radiometers for operational meteorology' see: https://doi.org/10.5194/amt-8-315-2015.</w:t>
            </w:r>
          </w:p>
        </w:tc>
      </w:tr>
      <w:tr>
        <w:trPr>
          <w:cantSplit/>
        </w:trPr>
        <w:tc>
          <w:tcPr>
            <w:tcW w:type="dxa" w:w="1514"/>
          </w:tcPr>
          <w:p>
            <w:pPr>
              <w:spacing w:before="20" w:after="20"/>
            </w:pPr>
            <w:r/>
            <w:r>
              <w:rPr>
                <w:rFonts w:ascii="Verdana" w:hAnsi="Verdana"/>
                <w:b w:val="0"/>
                <w:sz w:val="16"/>
              </w:rPr>
              <w:t>0 15 049</w:t>
            </w:r>
          </w:p>
        </w:tc>
        <w:tc>
          <w:tcPr>
            <w:tcW w:type="dxa" w:w="1514"/>
          </w:tcPr>
          <w:p>
            <w:pPr>
              <w:spacing w:before="20" w:after="20"/>
            </w:pPr>
            <w:r/>
            <w:r>
              <w:rPr>
                <w:rFonts w:ascii="Verdana" w:hAnsi="Verdana"/>
                <w:b w:val="0"/>
                <w:sz w:val="16"/>
              </w:rPr>
              <w:t>Aerosol Angstrom wavelength exponent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0 15 051</w:t>
            </w:r>
          </w:p>
        </w:tc>
        <w:tc>
          <w:tcPr>
            <w:tcW w:type="dxa" w:w="1514"/>
          </w:tcPr>
          <w:p>
            <w:pPr>
              <w:spacing w:before="20" w:after="20"/>
            </w:pPr>
            <w:r/>
            <w:r>
              <w:rPr>
                <w:rFonts w:ascii="Verdana" w:hAnsi="Verdana"/>
                <w:b w:val="0"/>
                <w:sz w:val="16"/>
              </w:rPr>
              <w:t>Meteorological optical range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0 15 052</w:t>
            </w:r>
          </w:p>
        </w:tc>
        <w:tc>
          <w:tcPr>
            <w:tcW w:type="dxa" w:w="1514"/>
          </w:tcPr>
          <w:p>
            <w:pPr>
              <w:spacing w:before="20" w:after="20"/>
            </w:pPr>
            <w:r/>
            <w:r>
              <w:rPr>
                <w:rFonts w:ascii="Verdana" w:hAnsi="Verdana"/>
                <w:b w:val="0"/>
                <w:sz w:val="16"/>
              </w:rPr>
              <w:t>Log10 of number density of aerosol particles with diameter greater than 5 nm</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0 15 053</w:t>
            </w:r>
          </w:p>
        </w:tc>
        <w:tc>
          <w:tcPr>
            <w:tcW w:type="dxa" w:w="1514"/>
          </w:tcPr>
          <w:p>
            <w:pPr>
              <w:spacing w:before="20" w:after="20"/>
            </w:pPr>
            <w:r/>
            <w:r>
              <w:rPr>
                <w:rFonts w:ascii="Verdana" w:hAnsi="Verdana"/>
                <w:b w:val="0"/>
                <w:sz w:val="16"/>
              </w:rPr>
              <w:t>Log10 of number density of aerosol particles with diameter greater than 14 nm</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600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0 15 054</w:t>
            </w:r>
          </w:p>
        </w:tc>
        <w:tc>
          <w:tcPr>
            <w:tcW w:type="dxa" w:w="1514"/>
          </w:tcPr>
          <w:p>
            <w:pPr>
              <w:spacing w:before="20" w:after="20"/>
            </w:pPr>
            <w:r/>
            <w:r>
              <w:rPr>
                <w:rFonts w:ascii="Verdana" w:hAnsi="Verdana"/>
                <w:b w:val="0"/>
                <w:sz w:val="16"/>
              </w:rPr>
              <w:t>Log10 of number density of aerosol particles with diameter between 0.25 and 2.5 um</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550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log (m</w:t>
            </w:r>
            <w:r>
              <w:rPr>
                <w:rFonts w:ascii="Verdana" w:hAnsi="Verdana"/>
                <w:sz w:val="16"/>
                <w:vertAlign w:val="superscript"/>
              </w:rPr>
              <w:t>-3</w:t>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0 15 055</w:t>
            </w:r>
          </w:p>
        </w:tc>
        <w:tc>
          <w:tcPr>
            <w:tcW w:type="dxa" w:w="1514"/>
          </w:tcPr>
          <w:p>
            <w:pPr>
              <w:spacing w:before="20" w:after="20"/>
            </w:pPr>
            <w:r/>
            <w:r>
              <w:rPr>
                <w:rFonts w:ascii="Verdana" w:hAnsi="Verdana"/>
                <w:b w:val="0"/>
                <w:sz w:val="16"/>
              </w:rPr>
              <w:t>Non volatile aerosol ratio</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0 15 062</w:t>
            </w:r>
          </w:p>
        </w:tc>
        <w:tc>
          <w:tcPr>
            <w:tcW w:type="dxa" w:w="1514"/>
          </w:tcPr>
          <w:p>
            <w:pPr>
              <w:spacing w:before="20" w:after="20"/>
            </w:pPr>
            <w:r/>
            <w:r>
              <w:rPr>
                <w:rFonts w:ascii="Verdana" w:hAnsi="Verdana"/>
                <w:b w:val="0"/>
                <w:sz w:val="16"/>
              </w:rPr>
              <w:t>Aerosol optical thickness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0 15 063</w:t>
            </w:r>
          </w:p>
        </w:tc>
        <w:tc>
          <w:tcPr>
            <w:tcW w:type="dxa" w:w="1514"/>
          </w:tcPr>
          <w:p>
            <w:pPr>
              <w:spacing w:before="20" w:after="20"/>
            </w:pPr>
            <w:r/>
            <w:r>
              <w:rPr>
                <w:rFonts w:ascii="Verdana" w:hAnsi="Verdana"/>
                <w:b w:val="0"/>
                <w:sz w:val="16"/>
              </w:rPr>
              <w:t>Attenuated backscatter</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0 15 064</w:t>
            </w:r>
          </w:p>
        </w:tc>
        <w:tc>
          <w:tcPr>
            <w:tcW w:type="dxa" w:w="1514"/>
          </w:tcPr>
          <w:p>
            <w:pPr>
              <w:spacing w:before="20" w:after="20"/>
            </w:pPr>
            <w:r/>
            <w:r>
              <w:rPr>
                <w:rFonts w:ascii="Verdana" w:hAnsi="Verdana"/>
                <w:b w:val="0"/>
                <w:sz w:val="16"/>
              </w:rPr>
              <w:t>Uncertainty in attenuated backscatter</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0 15 065</w:t>
            </w:r>
          </w:p>
        </w:tc>
        <w:tc>
          <w:tcPr>
            <w:tcW w:type="dxa" w:w="1514"/>
          </w:tcPr>
          <w:p>
            <w:pPr>
              <w:spacing w:before="20" w:after="20"/>
            </w:pPr>
            <w:r/>
            <w:r>
              <w:rPr>
                <w:rFonts w:ascii="Verdana" w:hAnsi="Verdana"/>
                <w:b w:val="0"/>
                <w:sz w:val="16"/>
              </w:rPr>
              <w:t>Particle backscatter coefficient</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0 15 066</w:t>
            </w:r>
          </w:p>
        </w:tc>
        <w:tc>
          <w:tcPr>
            <w:tcW w:type="dxa" w:w="1514"/>
          </w:tcPr>
          <w:p>
            <w:pPr>
              <w:spacing w:before="20" w:after="20"/>
            </w:pPr>
            <w:r/>
            <w:r>
              <w:rPr>
                <w:rFonts w:ascii="Verdana" w:hAnsi="Verdana"/>
                <w:b w:val="0"/>
                <w:sz w:val="16"/>
              </w:rPr>
              <w:t>Uncertainty in particle backscatter coefficient</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0 15 067</w:t>
            </w:r>
          </w:p>
        </w:tc>
        <w:tc>
          <w:tcPr>
            <w:tcW w:type="dxa" w:w="1514"/>
          </w:tcPr>
          <w:p>
            <w:pPr>
              <w:spacing w:before="20" w:after="20"/>
            </w:pPr>
            <w:r/>
            <w:r>
              <w:rPr>
                <w:rFonts w:ascii="Verdana" w:hAnsi="Verdana"/>
                <w:b w:val="0"/>
                <w:sz w:val="16"/>
              </w:rPr>
              <w:t>Particle extinction coefficient</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0 15 068</w:t>
            </w:r>
          </w:p>
        </w:tc>
        <w:tc>
          <w:tcPr>
            <w:tcW w:type="dxa" w:w="1514"/>
          </w:tcPr>
          <w:p>
            <w:pPr>
              <w:spacing w:before="20" w:after="20"/>
            </w:pPr>
            <w:r/>
            <w:r>
              <w:rPr>
                <w:rFonts w:ascii="Verdana" w:hAnsi="Verdana"/>
                <w:b w:val="0"/>
                <w:sz w:val="16"/>
              </w:rPr>
              <w:t>Uncertainty in particle extinction coefficient</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0 15 069</w:t>
            </w:r>
          </w:p>
        </w:tc>
        <w:tc>
          <w:tcPr>
            <w:tcW w:type="dxa" w:w="1514"/>
          </w:tcPr>
          <w:p>
            <w:pPr>
              <w:spacing w:before="20" w:after="20"/>
            </w:pPr>
            <w:r/>
            <w:r>
              <w:rPr>
                <w:rFonts w:ascii="Verdana" w:hAnsi="Verdana"/>
                <w:b w:val="0"/>
                <w:sz w:val="16"/>
              </w:rPr>
              <w:t>Particle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0 15 070</w:t>
            </w:r>
          </w:p>
        </w:tc>
        <w:tc>
          <w:tcPr>
            <w:tcW w:type="dxa" w:w="1514"/>
          </w:tcPr>
          <w:p>
            <w:pPr>
              <w:spacing w:before="20" w:after="20"/>
            </w:pPr>
            <w:r/>
            <w:r>
              <w:rPr>
                <w:rFonts w:ascii="Verdana" w:hAnsi="Verdana"/>
                <w:b w:val="0"/>
                <w:sz w:val="16"/>
              </w:rPr>
              <w:t>Uncertainty in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0 15 071</w:t>
            </w:r>
          </w:p>
        </w:tc>
        <w:tc>
          <w:tcPr>
            <w:tcW w:type="dxa" w:w="1514"/>
          </w:tcPr>
          <w:p>
            <w:pPr>
              <w:spacing w:before="20" w:after="20"/>
            </w:pPr>
            <w:r/>
            <w:r>
              <w:rPr>
                <w:rFonts w:ascii="Verdana" w:hAnsi="Verdana"/>
                <w:b w:val="0"/>
                <w:sz w:val="16"/>
              </w:rPr>
              <w:t>Particle depolarization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0 15 072</w:t>
            </w:r>
          </w:p>
        </w:tc>
        <w:tc>
          <w:tcPr>
            <w:tcW w:type="dxa" w:w="1514"/>
          </w:tcPr>
          <w:p>
            <w:pPr>
              <w:spacing w:before="20" w:after="20"/>
            </w:pPr>
            <w:r/>
            <w:r>
              <w:rPr>
                <w:rFonts w:ascii="Verdana" w:hAnsi="Verdana"/>
                <w:b w:val="0"/>
                <w:sz w:val="16"/>
              </w:rPr>
              <w:t>Uncertainty in depolarization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0 15 073</w:t>
            </w:r>
          </w:p>
        </w:tc>
        <w:tc>
          <w:tcPr>
            <w:tcW w:type="dxa" w:w="1514"/>
          </w:tcPr>
          <w:p>
            <w:pPr>
              <w:spacing w:before="20" w:after="20"/>
            </w:pPr>
            <w:r/>
            <w:r>
              <w:rPr>
                <w:rFonts w:ascii="Verdana" w:hAnsi="Verdana"/>
                <w:b w:val="0"/>
                <w:sz w:val="16"/>
              </w:rPr>
              <w:t>Attenuated backscatter</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0 15 074</w:t>
            </w:r>
          </w:p>
        </w:tc>
        <w:tc>
          <w:tcPr>
            <w:tcW w:type="dxa" w:w="1514"/>
          </w:tcPr>
          <w:p>
            <w:pPr>
              <w:spacing w:before="20" w:after="20"/>
            </w:pPr>
            <w:r/>
            <w:r>
              <w:rPr>
                <w:rFonts w:ascii="Verdana" w:hAnsi="Verdana"/>
                <w:b w:val="0"/>
                <w:sz w:val="16"/>
              </w:rPr>
              <w:t>Particle backscatter coefficient</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0 15 075</w:t>
            </w:r>
          </w:p>
        </w:tc>
        <w:tc>
          <w:tcPr>
            <w:tcW w:type="dxa" w:w="1514"/>
          </w:tcPr>
          <w:p>
            <w:pPr>
              <w:spacing w:before="20" w:after="20"/>
            </w:pPr>
            <w:r/>
            <w:r>
              <w:rPr>
                <w:rFonts w:ascii="Verdana" w:hAnsi="Verdana"/>
                <w:b w:val="0"/>
                <w:sz w:val="16"/>
              </w:rPr>
              <w:t>Particle extinction coefficient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-524288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0 15 076</w:t>
            </w:r>
          </w:p>
        </w:tc>
        <w:tc>
          <w:tcPr>
            <w:tcW w:type="dxa" w:w="1514"/>
          </w:tcPr>
          <w:p>
            <w:pPr>
              <w:spacing w:before="20" w:after="20"/>
            </w:pPr>
            <w:r/>
            <w:r>
              <w:rPr>
                <w:rFonts w:ascii="Verdana" w:hAnsi="Verdana"/>
                <w:b w:val="0"/>
                <w:sz w:val="16"/>
              </w:rPr>
              <w:t>Particle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0 15 077</w:t>
            </w:r>
          </w:p>
        </w:tc>
        <w:tc>
          <w:tcPr>
            <w:tcW w:type="dxa" w:w="1514"/>
          </w:tcPr>
          <w:p>
            <w:pPr>
              <w:spacing w:before="20" w:after="20"/>
            </w:pPr>
            <w:r/>
            <w:r>
              <w:rPr>
                <w:rFonts w:ascii="Verdana" w:hAnsi="Verdana"/>
                <w:b w:val="0"/>
                <w:sz w:val="16"/>
              </w:rPr>
              <w:t>Uncertainty in lidar ratio</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sr</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0 15 078</w:t>
            </w:r>
          </w:p>
        </w:tc>
        <w:tc>
          <w:tcPr>
            <w:tcW w:type="dxa" w:w="1514"/>
          </w:tcPr>
          <w:p>
            <w:pPr>
              <w:spacing w:before="20" w:after="20"/>
            </w:pPr>
            <w:r/>
            <w:r>
              <w:rPr>
                <w:rFonts w:ascii="Verdana" w:hAnsi="Verdana"/>
                <w:b w:val="0"/>
                <w:sz w:val="16"/>
              </w:rPr>
              <w:t>Particle depolarization ratio</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-8192</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0 15 079</w:t>
            </w:r>
          </w:p>
        </w:tc>
        <w:tc>
          <w:tcPr>
            <w:tcW w:type="dxa" w:w="1514"/>
          </w:tcPr>
          <w:p>
            <w:pPr>
              <w:spacing w:before="20" w:after="20"/>
            </w:pPr>
            <w:r/>
            <w:r>
              <w:rPr>
                <w:rFonts w:ascii="Verdana" w:hAnsi="Verdana"/>
                <w:b w:val="0"/>
                <w:sz w:val="16"/>
              </w:rPr>
              <w:t>Zenith path delay due to neutral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5: As supplied by originating sub-centre ARINC, this value is a pseudo-value rather than the actual value. The Relationship between this pseudo-value and the true value is known only by ARINC.</w:t>
            </w:r>
          </w:p>
        </w:tc>
      </w:tr>
      <w:tr>
        <w:trPr>
          <w:cantSplit/>
        </w:trPr>
        <w:tc>
          <w:tcPr>
            <w:tcW w:type="dxa" w:w="1514"/>
          </w:tcPr>
          <w:p>
            <w:pPr>
              <w:spacing w:before="20" w:after="20"/>
            </w:pPr>
            <w:r/>
            <w:r>
              <w:rPr>
                <w:rFonts w:ascii="Verdana" w:hAnsi="Verdana"/>
                <w:b w:val="0"/>
                <w:sz w:val="16"/>
              </w:rPr>
              <w:t>0 15 080</w:t>
            </w:r>
          </w:p>
        </w:tc>
        <w:tc>
          <w:tcPr>
            <w:tcW w:type="dxa" w:w="1514"/>
          </w:tcPr>
          <w:p>
            <w:pPr>
              <w:spacing w:before="20" w:after="20"/>
            </w:pPr>
            <w:r/>
            <w:r>
              <w:rPr>
                <w:rFonts w:ascii="Verdana" w:hAnsi="Verdana"/>
                <w:b w:val="0"/>
                <w:sz w:val="16"/>
              </w:rPr>
              <w:t>Estimated error in neutral atmosphere zenith 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0 15 081</w:t>
            </w:r>
          </w:p>
        </w:tc>
        <w:tc>
          <w:tcPr>
            <w:tcW w:type="dxa" w:w="1514"/>
          </w:tcPr>
          <w:p>
            <w:pPr>
              <w:spacing w:before="20" w:after="20"/>
            </w:pPr>
            <w:r/>
            <w:r>
              <w:rPr>
                <w:rFonts w:ascii="Verdana" w:hAnsi="Verdana"/>
                <w:b w:val="0"/>
                <w:sz w:val="16"/>
              </w:rPr>
              <w:t>Wet path delay due to neutral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6: Code table values: FRQ = code figure 8 (8 oktas) OCNL EMBD = code figure 6 (6 oktas) ISOL = code figure 2 (2 oktas) when the cloud = Cb.</w:t>
            </w:r>
          </w:p>
        </w:tc>
      </w:tr>
      <w:tr>
        <w:trPr>
          <w:cantSplit/>
        </w:trPr>
        <w:tc>
          <w:tcPr>
            <w:tcW w:type="dxa" w:w="1514"/>
          </w:tcPr>
          <w:p>
            <w:pPr>
              <w:spacing w:before="20" w:after="20"/>
            </w:pPr>
            <w:r/>
            <w:r>
              <w:rPr>
                <w:rFonts w:ascii="Verdana" w:hAnsi="Verdana"/>
                <w:b w:val="0"/>
                <w:sz w:val="16"/>
              </w:rPr>
              <w:t>0 15 082</w:t>
            </w:r>
          </w:p>
        </w:tc>
        <w:tc>
          <w:tcPr>
            <w:tcW w:type="dxa" w:w="1514"/>
          </w:tcPr>
          <w:p>
            <w:pPr>
              <w:spacing w:before="20" w:after="20"/>
            </w:pPr>
            <w:r/>
            <w:r>
              <w:rPr>
                <w:rFonts w:ascii="Verdana" w:hAnsi="Verdana"/>
                <w:b w:val="0"/>
                <w:sz w:val="16"/>
              </w:rPr>
              <w:t>Path integrated water vapour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16: Each BUFR message may contain data for a number of locations; the BUFR compression technique involves negligible overheads for data items that are invariant.</w:t>
            </w:r>
          </w:p>
        </w:tc>
      </w:tr>
      <w:tr>
        <w:trPr>
          <w:cantSplit/>
        </w:trPr>
        <w:tc>
          <w:tcPr>
            <w:tcW w:type="dxa" w:w="1514"/>
          </w:tcPr>
          <w:p>
            <w:pPr>
              <w:spacing w:before="20" w:after="20"/>
            </w:pPr>
            <w:r/>
            <w:r>
              <w:rPr>
                <w:rFonts w:ascii="Verdana" w:hAnsi="Verdana"/>
                <w:b w:val="0"/>
                <w:sz w:val="16"/>
              </w:rPr>
              <w:t>0 15 083</w:t>
            </w:r>
          </w:p>
        </w:tc>
        <w:tc>
          <w:tcPr>
            <w:tcW w:type="dxa" w:w="1514"/>
          </w:tcPr>
          <w:p>
            <w:pPr>
              <w:spacing w:before="20" w:after="20"/>
            </w:pPr>
            <w:r/>
            <w:r>
              <w:rPr>
                <w:rFonts w:ascii="Verdana" w:hAnsi="Verdana"/>
                <w:b w:val="0"/>
                <w:sz w:val="16"/>
              </w:rPr>
              <w:t>GNSS derived neutral atmosphere gradient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-8192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7: Compound BUFR messages may be described within the data description section, if required (e.g. 3 01 041, 3 04 001, 3 04 002, 3 04 003, 3 04 004, 3 04 005, 3 04 006).</w:t>
            </w:r>
          </w:p>
        </w:tc>
      </w:tr>
      <w:tr>
        <w:trPr>
          <w:cantSplit/>
        </w:trPr>
        <w:tc>
          <w:tcPr>
            <w:tcW w:type="dxa" w:w="1514"/>
          </w:tcPr>
          <w:p>
            <w:pPr>
              <w:spacing w:before="20" w:after="20"/>
            </w:pPr>
            <w:r/>
            <w:r>
              <w:rPr>
                <w:rFonts w:ascii="Verdana" w:hAnsi="Verdana"/>
                <w:b w:val="0"/>
                <w:sz w:val="16"/>
              </w:rPr>
              <w:t>0 15 084</w:t>
            </w:r>
          </w:p>
        </w:tc>
        <w:tc>
          <w:tcPr>
            <w:tcW w:type="dxa" w:w="1514"/>
          </w:tcPr>
          <w:p>
            <w:pPr>
              <w:spacing w:before="20" w:after="20"/>
            </w:pPr>
            <w:r/>
            <w:r>
              <w:rPr>
                <w:rFonts w:ascii="Verdana" w:hAnsi="Verdana"/>
                <w:b w:val="0"/>
                <w:sz w:val="16"/>
              </w:rPr>
              <w:t>GNSS least squares residual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17: Each position of road sensors includes the measurements of: - Road surface temperature - Road subsurface temperatures - Water film thickness - Road surface condition</w:t>
            </w:r>
          </w:p>
        </w:tc>
      </w:tr>
      <w:tr>
        <w:trPr>
          <w:cantSplit/>
        </w:trPr>
        <w:tc>
          <w:tcPr>
            <w:tcW w:type="dxa" w:w="1514"/>
          </w:tcPr>
          <w:p>
            <w:pPr>
              <w:spacing w:before="20" w:after="20"/>
            </w:pPr>
            <w:r/>
            <w:r>
              <w:rPr>
                <w:rFonts w:ascii="Verdana" w:hAnsi="Verdana"/>
                <w:b w:val="0"/>
                <w:sz w:val="16"/>
              </w:rPr>
              <w:t>0 15 085</w:t>
            </w:r>
          </w:p>
        </w:tc>
        <w:tc>
          <w:tcPr>
            <w:tcW w:type="dxa" w:w="1514"/>
          </w:tcPr>
          <w:p>
            <w:pPr>
              <w:spacing w:before="20" w:after="20"/>
            </w:pPr>
            <w:r/>
            <w:r>
              <w:rPr>
                <w:rFonts w:ascii="Verdana" w:hAnsi="Verdana"/>
                <w:b w:val="0"/>
                <w:sz w:val="16"/>
              </w:rPr>
              <w:t>GNSS multi-path delay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8: Data represented by this sequence should be sorted in descending order with respect to pressure.</w:t>
            </w:r>
          </w:p>
        </w:tc>
      </w:tr>
      <w:tr>
        <w:trPr>
          <w:cantSplit/>
        </w:trPr>
        <w:tc>
          <w:tcPr>
            <w:tcW w:type="dxa" w:w="1514"/>
          </w:tcPr>
          <w:p>
            <w:pPr>
              <w:spacing w:before="20" w:after="20"/>
            </w:pPr>
            <w:r/>
            <w:r>
              <w:rPr>
                <w:rFonts w:ascii="Verdana" w:hAnsi="Verdana"/>
                <w:b w:val="0"/>
                <w:sz w:val="16"/>
              </w:rPr>
              <w:t>0 15 086</w:t>
            </w:r>
          </w:p>
        </w:tc>
        <w:tc>
          <w:tcPr>
            <w:tcW w:type="dxa" w:w="1514"/>
          </w:tcPr>
          <w:p>
            <w:pPr>
              <w:spacing w:before="20" w:after="20"/>
            </w:pPr>
            <w:r/>
            <w:r>
              <w:rPr>
                <w:rFonts w:ascii="Verdana" w:hAnsi="Verdana"/>
                <w:b w:val="0"/>
                <w:sz w:val="16"/>
              </w:rPr>
              <w:t>GNSS hydrostatic mapping function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1514"/>
          </w:tcPr>
          <w:p>
            <w:pPr>
              <w:spacing w:before="20" w:after="20"/>
            </w:pPr>
            <w:r/>
            <w:r>
              <w:rPr>
                <w:rFonts w:ascii="Verdana" w:hAnsi="Verdana"/>
                <w:b w:val="0"/>
                <w:sz w:val="16"/>
              </w:rPr>
              <w:t>0 15 087</w:t>
            </w:r>
          </w:p>
        </w:tc>
        <w:tc>
          <w:tcPr>
            <w:tcW w:type="dxa" w:w="1514"/>
          </w:tcPr>
          <w:p>
            <w:pPr>
              <w:spacing w:before="20" w:after="20"/>
            </w:pPr>
            <w:r/>
            <w:r>
              <w:rPr>
                <w:rFonts w:ascii="Verdana" w:hAnsi="Verdana"/>
                <w:b w:val="0"/>
                <w:sz w:val="16"/>
              </w:rPr>
              <w:t>GNSS wet mapping function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1514"/>
          </w:tcPr>
          <w:p>
            <w:pPr>
              <w:spacing w:before="20" w:after="20"/>
            </w:pPr>
            <w:r/>
            <w:r>
              <w:rPr>
                <w:rFonts w:ascii="Verdana" w:hAnsi="Verdana"/>
                <w:b w:val="0"/>
                <w:sz w:val="16"/>
              </w:rPr>
              <w:t>0 15 088</w:t>
            </w:r>
          </w:p>
        </w:tc>
        <w:tc>
          <w:tcPr>
            <w:tcW w:type="dxa" w:w="1514"/>
          </w:tcPr>
          <w:p>
            <w:pPr>
              <w:spacing w:before="20" w:after="20"/>
            </w:pPr>
            <w:r/>
            <w:r>
              <w:rPr>
                <w:rFonts w:ascii="Verdana" w:hAnsi="Verdana"/>
                <w:b w:val="0"/>
                <w:sz w:val="16"/>
              </w:rPr>
              <w:t>GNSS gradient mapping function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22: Full directional spectra (Ib = 1 in WAVEOB with more than one direction per wave number band). The replication count is the number of directions per wave number band that should normally cover the full circle.</w:t>
            </w:r>
          </w:p>
        </w:tc>
      </w:tr>
      <w:tr>
        <w:trPr>
          <w:cantSplit/>
        </w:trPr>
        <w:tc>
          <w:tcPr>
            <w:tcW w:type="dxa" w:w="1514"/>
          </w:tcPr>
          <w:p>
            <w:pPr>
              <w:spacing w:before="20" w:after="20"/>
            </w:pPr>
            <w:r/>
            <w:r>
              <w:rPr>
                <w:rFonts w:ascii="Verdana" w:hAnsi="Verdana"/>
                <w:b w:val="0"/>
                <w:sz w:val="16"/>
              </w:rPr>
              <w:t>0 15 089</w:t>
            </w:r>
          </w:p>
        </w:tc>
        <w:tc>
          <w:tcPr>
            <w:tcW w:type="dxa" w:w="1514"/>
          </w:tcPr>
          <w:p>
            <w:pPr>
              <w:spacing w:before="20" w:after="20"/>
            </w:pPr>
            <w:r/>
            <w:r>
              <w:rPr>
                <w:rFonts w:ascii="Verdana" w:hAnsi="Verdana"/>
                <w:b w:val="0"/>
                <w:sz w:val="16"/>
              </w:rPr>
              <w:t>Zenith path delay due to neutral hydrostatic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18: No operator descriptors are reserved for local use.</w:t>
            </w:r>
          </w:p>
        </w:tc>
      </w:tr>
      <w:tr>
        <w:trPr>
          <w:cantSplit/>
        </w:trPr>
        <w:tc>
          <w:tcPr>
            <w:tcW w:type="dxa" w:w="1514"/>
          </w:tcPr>
          <w:p>
            <w:pPr>
              <w:spacing w:before="20" w:after="20"/>
            </w:pPr>
            <w:r/>
            <w:r>
              <w:rPr>
                <w:rFonts w:ascii="Verdana" w:hAnsi="Verdana"/>
                <w:b w:val="0"/>
                <w:sz w:val="16"/>
              </w:rPr>
              <w:t>0 15 090</w:t>
            </w:r>
          </w:p>
        </w:tc>
        <w:tc>
          <w:tcPr>
            <w:tcW w:type="dxa" w:w="1514"/>
          </w:tcPr>
          <w:p>
            <w:pPr>
              <w:spacing w:before="20" w:after="20"/>
            </w:pPr>
            <w:r/>
            <w:r>
              <w:rPr>
                <w:rFonts w:ascii="Verdana" w:hAnsi="Verdana"/>
                <w:b w:val="0"/>
                <w:sz w:val="16"/>
              </w:rPr>
              <w:t>Path delay due to neutral hydrostatic atmosphere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t>Note 19: An event, as defined for use with operators 2 41 000 and 2 42 000, is a set of one or more circumstances described using appropriate Table B descriptors along with their corresponding data values. The grouping of such descriptors together as a single "event" allows them to be collectively assigned as the target of a separate descriptor such as 0 33 045 or 0 33 046. When defining a circumstance within an event, descriptor 0 33 042 may be employed preceding the appropriate Table B descriptor in order to indicate that the corresponding value is actually a bound for a range of values.</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