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23: Dispersal and transport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Accident early notification - article applicable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Activity or facility involved in incident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of release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Countermeasures taken near border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Cause of incident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Incident situation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Characteristics of release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State of current release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State of expected release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Possibility of significant chemical toxic health effect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Flow discharge of major recipient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Release behaviour over time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Actual release height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Effective release height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Distance of release point or site of incident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Main transport speed in the atmosphere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Main transport speed in water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Main transport speed in ground water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Main transport direction in the atmosphere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Main transport direction in water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Main transport direction in ground water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Possibility that plume will encounter precipitation in State in which incident occurred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Plume will encounter change in wind direction and/or speed flag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Flow discharge - river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Flow discharge - well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