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23</w:t>
      </w:r>
    </w:p>
    <w:p>
      <w:r>
        <w:rPr>
          <w:rFonts w:ascii="Verdana" w:hAnsi="Verdana"/>
          <w:b/>
          <w:sz w:val="18"/>
        </w:rPr>
        <w:t>0 23 001  Artículos aplicables a la notificación rápida de un accidente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Artículos 1 y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Artículo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Artículo 5.2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23 002  Actividad o instalación relacionada con 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Reactor nuclear en tierra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Reactor nuclear en el mar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Reactor nuclear en el espacio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Instalación de combustible nuclear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Instalación de gestión de desechos radiactivos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Transporte de combustible nuclear o de desechos radiactivos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Almacenamiento de combustible nuclear o de desechos radiactivos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Fabricación de radioisótopos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Utilización de radioisótopos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Almacenamiento de radioisótopos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Eliminación de radioisótopos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Transporte de radioisótopos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Utilización de radioisótopos para la producción de energía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Otras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23 003  Tipo de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 emisión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en la atmósfera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en 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en la atmósfera y en 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prevista en la atmósfera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prevista en 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 prevista en la atmósfera y en el 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23 004  Contramedidas tomadas cerca de la frontera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Ninguna contramedida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Evacuación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Protección en refugios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Medidas profilácticas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Agua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23 005  Causa del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 autoridades del Estado donde se produjo el incidente no se explican lo sucedido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 autoridades del Estado donde se produjo el incidente conocen su causa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23 006  Situación luego del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situación no mejora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Situación inestable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situación no empeora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situación mejora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Situación estable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situación empeora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23 007  Características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hay emisión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emisión ha cesado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Emisión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emisión continúa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23 008  Estado actual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Gaseosa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partículas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emisiones gaseosas y de partículas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23 009  Estado previsto de la emisión de sustancias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Gaseosa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partículas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Mezcla de emisiones gaseosas y de partículas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23 016  Riesgo de una importante intoxicación de origen químico que afecte a la salud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hay ninguna importante intoxicación de origen químico que afecte a la salud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Riesgo de una importante intoxicación de origen químico que afecte a la salud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23 018  Evolución de la emisión de sustancias con el paso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emisión ha cesado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emisión prosigue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prevé un aumento de la emisión en las próximas seis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prevé que la emisión permanecerá constante en las próximas seis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prevé una disminución de la emisión en las próximas seis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23 031  Riesgo de que la columna radiactiva encuentre precipitaciones en el país en que ha ocurrido el incidente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columna radiactiva no encontrará lluvia en el país donde se ha producido el incidente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columna radiactiva encontrará lluvia en el país donde se ha producido el incidente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23 032  Posibilidad de que la columna radiactiva sea afectada por un cambio en la dirección o en la velocidad del viento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 se prevé ningún cambio importante en las próximas seis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 prevé un cambio importante en las próximas seis horas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