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Clase 08: Calificadores de significación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NOMBRE DEL ELEMENTO</w:t>
            </w:r>
          </w:p>
        </w:tc>
        <w:tc>
          <w:tcPr>
            <w:tcW w:type="dxa" w:w="1514"/>
            <w:shd w:val="clear" w:color="auto" w:fill="D9D9D9"/>
          </w:tcPr>
          <w:p>
            <w:pPr>
              <w:spacing w:before="20" w:after="20"/>
            </w:pPr>
            <w:r/>
            <w:r>
              <w:rPr>
                <w:rFonts w:ascii="Verdana" w:hAnsi="Verdana"/>
                <w:b w:val="0"/>
                <w:sz w:val="16"/>
              </w:rPr>
              <w:t>UNIDAD BUFR</w:t>
            </w:r>
          </w:p>
        </w:tc>
        <w:tc>
          <w:tcPr>
            <w:tcW w:type="dxa" w:w="1514"/>
            <w:shd w:val="clear" w:color="auto" w:fill="D9D9D9"/>
          </w:tcPr>
          <w:p>
            <w:pPr>
              <w:spacing w:before="20" w:after="20"/>
            </w:pPr>
            <w:r/>
            <w:r>
              <w:rPr>
                <w:rFonts w:ascii="Verdana" w:hAnsi="Verdana"/>
                <w:b w:val="0"/>
                <w:sz w:val="16"/>
              </w:rPr>
              <w:t>ESCALA</w:t>
            </w:r>
          </w:p>
        </w:tc>
        <w:tc>
          <w:tcPr>
            <w:tcW w:type="dxa" w:w="1514"/>
            <w:shd w:val="clear" w:color="auto" w:fill="D9D9D9"/>
          </w:tcPr>
          <w:p>
            <w:pPr>
              <w:spacing w:before="20" w:after="20"/>
            </w:pPr>
            <w:r/>
            <w:r>
              <w:rPr>
                <w:rFonts w:ascii="Verdana" w:hAnsi="Verdana"/>
                <w:b w:val="0"/>
                <w:sz w:val="16"/>
              </w:rPr>
              <w:t>VAL. REF.</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UNIDAD CREX</w:t>
            </w:r>
          </w:p>
        </w:tc>
        <w:tc>
          <w:tcPr>
            <w:tcW w:type="dxa" w:w="1514"/>
            <w:shd w:val="clear" w:color="auto" w:fill="D9D9D9"/>
          </w:tcPr>
          <w:p>
            <w:pPr>
              <w:spacing w:before="20" w:after="20"/>
            </w:pPr>
            <w:r/>
            <w:r>
              <w:rPr>
                <w:rFonts w:ascii="Verdana" w:hAnsi="Verdana"/>
                <w:b w:val="0"/>
                <w:sz w:val="16"/>
              </w:rPr>
              <w:t>ESCALA</w:t>
            </w:r>
          </w:p>
        </w:tc>
        <w:tc>
          <w:tcPr>
            <w:tcW w:type="dxa" w:w="1514"/>
            <w:shd w:val="clear" w:color="auto" w:fill="D9D9D9"/>
          </w:tcPr>
          <w:p>
            <w:pPr>
              <w:spacing w:before="20" w:after="20"/>
            </w:pPr>
            <w:r/>
            <w:r>
              <w:rPr>
                <w:rFonts w:ascii="Verdana" w:hAnsi="Verdana"/>
                <w:b w:val="0"/>
                <w:sz w:val="16"/>
              </w:rPr>
              <w:t>CAR.</w:t>
            </w:r>
          </w:p>
        </w:tc>
        <w:tc>
          <w:tcPr>
            <w:tcW w:type="dxa" w:w="1514"/>
            <w:shd w:val="clear" w:color="auto" w:fill="D9D9D9"/>
          </w:tcPr>
          <w:p>
            <w:pPr>
              <w:spacing w:before="20" w:after="20"/>
            </w:pPr>
            <w:r/>
            <w:r>
              <w:rPr>
                <w:rFonts w:ascii="Verdana" w:hAnsi="Verdana"/>
                <w:b w:val="0"/>
                <w:sz w:val="16"/>
              </w:rPr>
              <w:t>NOTA</w:t>
            </w:r>
          </w:p>
        </w:tc>
      </w:tr>
      <w:tr>
        <w:trPr>
          <w:cantSplit/>
        </w:trPr>
        <w:tc>
          <w:tcPr>
            <w:tcW w:type="dxa" w:w="1514"/>
          </w:tcPr>
          <w:p>
            <w:pPr>
              <w:spacing w:before="20" w:after="20"/>
            </w:pPr>
            <w:r/>
            <w:r>
              <w:rPr>
                <w:rFonts w:ascii="Verdana" w:hAnsi="Verdana"/>
                <w:b w:val="0"/>
                <w:sz w:val="16"/>
              </w:rPr>
              <w:t>0 08 001</w:t>
            </w:r>
          </w:p>
        </w:tc>
        <w:tc>
          <w:tcPr>
            <w:tcW w:type="dxa" w:w="1514"/>
          </w:tcPr>
          <w:p>
            <w:pPr>
              <w:spacing w:before="20" w:after="20"/>
            </w:pPr>
            <w:r/>
            <w:r>
              <w:rPr>
                <w:rFonts w:ascii="Verdana" w:hAnsi="Verdana"/>
                <w:b w:val="0"/>
                <w:sz w:val="16"/>
              </w:rPr>
              <w:t>Significación del sondeo vertical</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0 08 002</w:t>
            </w:r>
          </w:p>
        </w:tc>
        <w:tc>
          <w:tcPr>
            <w:tcW w:type="dxa" w:w="1514"/>
          </w:tcPr>
          <w:p>
            <w:pPr>
              <w:spacing w:before="20" w:after="20"/>
            </w:pPr>
            <w:r/>
            <w:r>
              <w:rPr>
                <w:rFonts w:ascii="Verdana" w:hAnsi="Verdana"/>
                <w:b w:val="0"/>
                <w:sz w:val="16"/>
              </w:rPr>
              <w:t>Significación vertical (observaciones de superficie)</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0 08 003</w:t>
            </w:r>
          </w:p>
        </w:tc>
        <w:tc>
          <w:tcPr>
            <w:tcW w:type="dxa" w:w="1514"/>
          </w:tcPr>
          <w:p>
            <w:pPr>
              <w:spacing w:before="20" w:after="20"/>
            </w:pPr>
            <w:r/>
            <w:r>
              <w:rPr>
                <w:rFonts w:ascii="Verdana" w:hAnsi="Verdana"/>
                <w:b w:val="0"/>
                <w:sz w:val="16"/>
              </w:rPr>
              <w:t>Significación vertical (observaciones satelitales)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0 08 004</w:t>
            </w:r>
          </w:p>
        </w:tc>
        <w:tc>
          <w:tcPr>
            <w:tcW w:type="dxa" w:w="1514"/>
          </w:tcPr>
          <w:p>
            <w:pPr>
              <w:spacing w:before="20" w:after="20"/>
            </w:pPr>
            <w:r/>
            <w:r>
              <w:rPr>
                <w:rFonts w:ascii="Verdana" w:hAnsi="Verdana"/>
                <w:b w:val="0"/>
                <w:sz w:val="16"/>
              </w:rPr>
              <w:t>Fase del vuelo de la aeronave</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0 08 005</w:t>
            </w:r>
          </w:p>
        </w:tc>
        <w:tc>
          <w:tcPr>
            <w:tcW w:type="dxa" w:w="1514"/>
          </w:tcPr>
          <w:p>
            <w:pPr>
              <w:spacing w:before="20" w:after="20"/>
            </w:pPr>
            <w:r/>
            <w:r>
              <w:rPr>
                <w:rFonts w:ascii="Verdana" w:hAnsi="Verdana"/>
                <w:b w:val="0"/>
                <w:sz w:val="16"/>
              </w:rPr>
              <w:t>Significación del atributo meteorológico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0 08 006</w:t>
            </w:r>
          </w:p>
        </w:tc>
        <w:tc>
          <w:tcPr>
            <w:tcW w:type="dxa" w:w="1514"/>
          </w:tcPr>
          <w:p>
            <w:pPr>
              <w:spacing w:before="20" w:after="20"/>
            </w:pPr>
            <w:r/>
            <w:r>
              <w:rPr>
                <w:rFonts w:ascii="Verdana" w:hAnsi="Verdana"/>
                <w:b w:val="0"/>
                <w:sz w:val="16"/>
              </w:rPr>
              <w:t>Significación del sondeo vertical del ozono</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0 08 007</w:t>
            </w:r>
          </w:p>
        </w:tc>
        <w:tc>
          <w:tcPr>
            <w:tcW w:type="dxa" w:w="1514"/>
          </w:tcPr>
          <w:p>
            <w:pPr>
              <w:spacing w:before="20" w:after="20"/>
            </w:pPr>
            <w:r/>
            <w:r>
              <w:rPr>
                <w:rFonts w:ascii="Verdana" w:hAnsi="Verdana"/>
                <w:b w:val="0"/>
                <w:sz w:val="16"/>
              </w:rPr>
              <w:t>Significación dimensional</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0 08 008</w:t>
            </w:r>
          </w:p>
        </w:tc>
        <w:tc>
          <w:tcPr>
            <w:tcW w:type="dxa" w:w="1514"/>
          </w:tcPr>
          <w:p>
            <w:pPr>
              <w:spacing w:before="20" w:after="20"/>
            </w:pPr>
            <w:r/>
            <w:r>
              <w:rPr>
                <w:rFonts w:ascii="Verdana" w:hAnsi="Verdana"/>
                <w:b w:val="0"/>
                <w:sz w:val="16"/>
              </w:rPr>
              <w:t>Significación del sondeo vertical de la radiación</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0 08 009</w:t>
            </w:r>
          </w:p>
        </w:tc>
        <w:tc>
          <w:tcPr>
            <w:tcW w:type="dxa" w:w="1514"/>
          </w:tcPr>
          <w:p>
            <w:pPr>
              <w:spacing w:before="20" w:after="20"/>
            </w:pPr>
            <w:r/>
            <w:r>
              <w:rPr>
                <w:rFonts w:ascii="Verdana" w:hAnsi="Verdana"/>
                <w:b w:val="0"/>
                <w:sz w:val="16"/>
              </w:rPr>
              <w:t>Fase detallada de vuelo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0 08 010</w:t>
            </w:r>
          </w:p>
        </w:tc>
        <w:tc>
          <w:tcPr>
            <w:tcW w:type="dxa" w:w="1514"/>
          </w:tcPr>
          <w:p>
            <w:pPr>
              <w:spacing w:before="20" w:after="20"/>
            </w:pPr>
            <w:r/>
            <w:r>
              <w:rPr>
                <w:rFonts w:ascii="Verdana" w:hAnsi="Verdana"/>
                <w:b w:val="0"/>
                <w:sz w:val="16"/>
              </w:rPr>
              <w:t>Calificador de superficie (datos de temperatura)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0 08 011</w:t>
            </w:r>
          </w:p>
        </w:tc>
        <w:tc>
          <w:tcPr>
            <w:tcW w:type="dxa" w:w="1514"/>
          </w:tcPr>
          <w:p>
            <w:pPr>
              <w:spacing w:before="20" w:after="20"/>
            </w:pPr>
            <w:r/>
            <w:r>
              <w:rPr>
                <w:rFonts w:ascii="Verdana" w:hAnsi="Verdana"/>
                <w:b w:val="0"/>
                <w:sz w:val="16"/>
              </w:rPr>
              <w:t>Característica meteorológica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0 08 012</w:t>
            </w:r>
          </w:p>
        </w:tc>
        <w:tc>
          <w:tcPr>
            <w:tcW w:type="dxa" w:w="1514"/>
          </w:tcPr>
          <w:p>
            <w:pPr>
              <w:spacing w:before="20" w:after="20"/>
            </w:pPr>
            <w:r/>
            <w:r>
              <w:rPr>
                <w:rFonts w:ascii="Verdana" w:hAnsi="Verdana"/>
                <w:b w:val="0"/>
                <w:sz w:val="16"/>
              </w:rPr>
              <w:t>Calificador tierra/mar</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0 08 013</w:t>
            </w:r>
          </w:p>
        </w:tc>
        <w:tc>
          <w:tcPr>
            <w:tcW w:type="dxa" w:w="1514"/>
          </w:tcPr>
          <w:p>
            <w:pPr>
              <w:spacing w:before="20" w:after="20"/>
            </w:pPr>
            <w:r/>
            <w:r>
              <w:rPr>
                <w:rFonts w:ascii="Verdana" w:hAnsi="Verdana"/>
                <w:b w:val="0"/>
                <w:sz w:val="16"/>
              </w:rPr>
              <w:t>Calificador día/noche</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0 08 014</w:t>
            </w:r>
          </w:p>
        </w:tc>
        <w:tc>
          <w:tcPr>
            <w:tcW w:type="dxa" w:w="1514"/>
          </w:tcPr>
          <w:p>
            <w:pPr>
              <w:spacing w:before="20" w:after="20"/>
            </w:pPr>
            <w:r/>
            <w:r>
              <w:rPr>
                <w:rFonts w:ascii="Verdana" w:hAnsi="Verdana"/>
                <w:b w:val="0"/>
                <w:sz w:val="16"/>
              </w:rPr>
              <w:t>Calificador para el alcance visual en pista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0 08 015</w:t>
            </w:r>
          </w:p>
        </w:tc>
        <w:tc>
          <w:tcPr>
            <w:tcW w:type="dxa" w:w="1514"/>
          </w:tcPr>
          <w:p>
            <w:pPr>
              <w:spacing w:before="20" w:after="20"/>
            </w:pPr>
            <w:r/>
            <w:r>
              <w:rPr>
                <w:rFonts w:ascii="Verdana" w:hAnsi="Verdana"/>
                <w:b w:val="0"/>
                <w:sz w:val="16"/>
              </w:rPr>
              <w:t>Calificador significativo del sensor</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0 08 016</w:t>
            </w:r>
          </w:p>
        </w:tc>
        <w:tc>
          <w:tcPr>
            <w:tcW w:type="dxa" w:w="1514"/>
          </w:tcPr>
          <w:p>
            <w:pPr>
              <w:spacing w:before="20" w:after="20"/>
            </w:pPr>
            <w:r/>
            <w:r>
              <w:rPr>
                <w:rFonts w:ascii="Verdana" w:hAnsi="Verdana"/>
                <w:b w:val="0"/>
                <w:sz w:val="16"/>
              </w:rPr>
              <w:t>Calificador de cambio de un pronóstico de tipo tendencia o de un pronóstico de aeródromo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0 08 017</w:t>
            </w:r>
          </w:p>
        </w:tc>
        <w:tc>
          <w:tcPr>
            <w:tcW w:type="dxa" w:w="1514"/>
          </w:tcPr>
          <w:p>
            <w:pPr>
              <w:spacing w:before="20" w:after="20"/>
            </w:pPr>
            <w:r/>
            <w:r>
              <w:rPr>
                <w:rFonts w:ascii="Verdana" w:hAnsi="Verdana"/>
                <w:b w:val="0"/>
                <w:sz w:val="16"/>
              </w:rPr>
              <w:t>Calificador de la hora a la cual se espera que se produzca el cambio previsto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0 08 018</w:t>
            </w:r>
          </w:p>
        </w:tc>
        <w:tc>
          <w:tcPr>
            <w:tcW w:type="dxa" w:w="1514"/>
          </w:tcPr>
          <w:p>
            <w:pPr>
              <w:spacing w:before="20" w:after="20"/>
            </w:pPr>
            <w:r/>
            <w:r>
              <w:rPr>
                <w:rFonts w:ascii="Verdana" w:hAnsi="Verdana"/>
                <w:b w:val="0"/>
                <w:sz w:val="16"/>
              </w:rPr>
              <w:t>Tipo de superficie tierra/hielo medida por SeaWinds</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0 08 019</w:t>
            </w:r>
          </w:p>
        </w:tc>
        <w:tc>
          <w:tcPr>
            <w:tcW w:type="dxa" w:w="1514"/>
          </w:tcPr>
          <w:p>
            <w:pPr>
              <w:spacing w:before="20" w:after="20"/>
            </w:pPr>
            <w:r/>
            <w:r>
              <w:rPr>
                <w:rFonts w:ascii="Verdana" w:hAnsi="Verdana"/>
                <w:b w:val="0"/>
                <w:sz w:val="16"/>
              </w:rPr>
              <w:t>Calificador para el identificador del centro siguiente</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0 08 020</w:t>
            </w:r>
          </w:p>
        </w:tc>
        <w:tc>
          <w:tcPr>
            <w:tcW w:type="dxa" w:w="1514"/>
          </w:tcPr>
          <w:p>
            <w:pPr>
              <w:spacing w:before="20" w:after="20"/>
            </w:pPr>
            <w:r/>
            <w:r>
              <w:rPr>
                <w:rFonts w:ascii="Verdana" w:hAnsi="Verdana"/>
                <w:b w:val="0"/>
                <w:sz w:val="16"/>
              </w:rPr>
              <w:t>Número total de períodos sin valores (para el cálculo del total o de la media)</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0 08 021</w:t>
            </w:r>
          </w:p>
        </w:tc>
        <w:tc>
          <w:tcPr>
            <w:tcW w:type="dxa" w:w="1514"/>
          </w:tcPr>
          <w:p>
            <w:pPr>
              <w:spacing w:before="20" w:after="20"/>
            </w:pPr>
            <w:r/>
            <w:r>
              <w:rPr>
                <w:rFonts w:ascii="Verdana" w:hAnsi="Verdana"/>
                <w:b w:val="0"/>
                <w:sz w:val="16"/>
              </w:rPr>
              <w:t>Significación temporal</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0 08 022</w:t>
            </w:r>
          </w:p>
        </w:tc>
        <w:tc>
          <w:tcPr>
            <w:tcW w:type="dxa" w:w="1514"/>
          </w:tcPr>
          <w:p>
            <w:pPr>
              <w:spacing w:before="20" w:after="20"/>
            </w:pPr>
            <w:r/>
            <w:r>
              <w:rPr>
                <w:rFonts w:ascii="Verdana" w:hAnsi="Verdana"/>
                <w:b w:val="0"/>
                <w:sz w:val="16"/>
              </w:rPr>
              <w:t>Número total (en relación a la acumulación o promedios)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0 08 023</w:t>
            </w:r>
          </w:p>
        </w:tc>
        <w:tc>
          <w:tcPr>
            <w:tcW w:type="dxa" w:w="1514"/>
          </w:tcPr>
          <w:p>
            <w:pPr>
              <w:spacing w:before="20" w:after="20"/>
            </w:pPr>
            <w:r/>
            <w:r>
              <w:rPr>
                <w:rFonts w:ascii="Verdana" w:hAnsi="Verdana"/>
                <w:b w:val="0"/>
                <w:sz w:val="16"/>
              </w:rPr>
              <w:t>Estadísticas de primer orden</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70: Este valor es la estimación oficial o la mejor estimación de la elevación real del terreno. Se incluye con fines de comparación con la elevación virtual del terreno en el modelo. Ambas pueden ser sustancialmente diferentes en terreno accidentado. Se incrementa el factor de escala para que el valor sea comparable directamente con 0 07 030 infra.</w:t>
            </w:r>
          </w:p>
        </w:tc>
      </w:tr>
      <w:tr>
        <w:trPr>
          <w:cantSplit/>
        </w:trPr>
        <w:tc>
          <w:tcPr>
            <w:tcW w:type="dxa" w:w="1514"/>
          </w:tcPr>
          <w:p>
            <w:pPr>
              <w:spacing w:before="20" w:after="20"/>
            </w:pPr>
            <w:r/>
            <w:r>
              <w:rPr>
                <w:rFonts w:ascii="Verdana" w:hAnsi="Verdana"/>
                <w:b w:val="0"/>
                <w:sz w:val="16"/>
              </w:rPr>
              <w:t>0 08 024</w:t>
            </w:r>
          </w:p>
        </w:tc>
        <w:tc>
          <w:tcPr>
            <w:tcW w:type="dxa" w:w="1514"/>
          </w:tcPr>
          <w:p>
            <w:pPr>
              <w:spacing w:before="20" w:after="20"/>
            </w:pPr>
            <w:r/>
            <w:r>
              <w:rPr>
                <w:rFonts w:ascii="Verdana" w:hAnsi="Verdana"/>
                <w:b w:val="0"/>
                <w:sz w:val="16"/>
              </w:rPr>
              <w:t>Estadísticas de diferencia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61: El valor comunicado para 0 19 007 será “faltante” a menos que la sección horizontal que se describe sea un círculo.</w:t>
            </w:r>
          </w:p>
        </w:tc>
      </w:tr>
      <w:tr>
        <w:trPr>
          <w:cantSplit/>
        </w:trPr>
        <w:tc>
          <w:tcPr>
            <w:tcW w:type="dxa" w:w="1514"/>
          </w:tcPr>
          <w:p>
            <w:pPr>
              <w:spacing w:before="20" w:after="20"/>
            </w:pPr>
            <w:r/>
            <w:r>
              <w:rPr>
                <w:rFonts w:ascii="Verdana" w:hAnsi="Verdana"/>
                <w:b w:val="0"/>
                <w:sz w:val="16"/>
              </w:rPr>
              <w:t>0 08 025</w:t>
            </w:r>
          </w:p>
        </w:tc>
        <w:tc>
          <w:tcPr>
            <w:tcW w:type="dxa" w:w="1514"/>
          </w:tcPr>
          <w:p>
            <w:pPr>
              <w:spacing w:before="20" w:after="20"/>
            </w:pPr>
            <w:r/>
            <w:r>
              <w:rPr>
                <w:rFonts w:ascii="Verdana" w:hAnsi="Verdana"/>
                <w:b w:val="0"/>
                <w:sz w:val="16"/>
              </w:rPr>
              <w:t>Calificador de diferencia de tiempo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49: La mayoría de las estaciones tienen solo una posición sobre la carretera y un sensor de la temperatura subsuperficial. Se han introducido repeticiones diferidas para aumentar la flexibilidad y el rendimiento volumétrico.</w:t>
            </w:r>
          </w:p>
        </w:tc>
      </w:tr>
      <w:tr>
        <w:trPr>
          <w:cantSplit/>
        </w:trPr>
        <w:tc>
          <w:tcPr>
            <w:tcW w:type="dxa" w:w="1514"/>
          </w:tcPr>
          <w:p>
            <w:pPr>
              <w:spacing w:before="20" w:after="20"/>
            </w:pPr>
            <w:r/>
            <w:r>
              <w:rPr>
                <w:rFonts w:ascii="Verdana" w:hAnsi="Verdana"/>
                <w:b w:val="0"/>
                <w:sz w:val="16"/>
              </w:rPr>
              <w:t>0 08 026</w:t>
            </w:r>
          </w:p>
        </w:tc>
        <w:tc>
          <w:tcPr>
            <w:tcW w:type="dxa" w:w="1514"/>
          </w:tcPr>
          <w:p>
            <w:pPr>
              <w:spacing w:before="20" w:after="20"/>
            </w:pPr>
            <w:r/>
            <w:r>
              <w:rPr>
                <w:rFonts w:ascii="Verdana" w:hAnsi="Verdana"/>
                <w:b w:val="0"/>
                <w:sz w:val="16"/>
              </w:rPr>
              <w:t>Significación matricial</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0 08 029</w:t>
            </w:r>
          </w:p>
        </w:tc>
        <w:tc>
          <w:tcPr>
            <w:tcW w:type="dxa" w:w="1514"/>
          </w:tcPr>
          <w:p>
            <w:pPr>
              <w:spacing w:before="20" w:after="20"/>
            </w:pPr>
            <w:r/>
            <w:r>
              <w:rPr>
                <w:rFonts w:ascii="Verdana" w:hAnsi="Verdana"/>
                <w:b w:val="0"/>
                <w:sz w:val="16"/>
              </w:rPr>
              <w:t>Tipo de superficie</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0 08 030</w:t>
            </w:r>
          </w:p>
        </w:tc>
        <w:tc>
          <w:tcPr>
            <w:tcW w:type="dxa" w:w="1514"/>
          </w:tcPr>
          <w:p>
            <w:pPr>
              <w:spacing w:before="20" w:after="20"/>
            </w:pPr>
            <w:r/>
            <w:r>
              <w:rPr>
                <w:rFonts w:ascii="Verdana" w:hAnsi="Verdana"/>
                <w:b w:val="0"/>
                <w:sz w:val="16"/>
              </w:rPr>
              <w:t>Manual de claves (vol. I.1, sec. C) - Tabla de cifrado de la cual se obtienen los datos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0 08 031</w:t>
            </w:r>
          </w:p>
        </w:tc>
        <w:tc>
          <w:tcPr>
            <w:tcW w:type="dxa" w:w="1514"/>
          </w:tcPr>
          <w:p>
            <w:pPr>
              <w:spacing w:before="20" w:after="20"/>
            </w:pPr>
            <w:r/>
            <w:r>
              <w:rPr>
                <w:rFonts w:ascii="Verdana" w:hAnsi="Verdana"/>
                <w:b w:val="0"/>
                <w:sz w:val="16"/>
              </w:rPr>
              <w:t>Categoría de datos de la Tabla A de CREX</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0 08 032</w:t>
            </w:r>
          </w:p>
        </w:tc>
        <w:tc>
          <w:tcPr>
            <w:tcW w:type="dxa" w:w="1514"/>
          </w:tcPr>
          <w:p>
            <w:pPr>
              <w:spacing w:before="20" w:after="20"/>
            </w:pPr>
            <w:r/>
            <w:r>
              <w:rPr>
                <w:rFonts w:ascii="Verdana" w:hAnsi="Verdana"/>
                <w:b w:val="0"/>
                <w:sz w:val="16"/>
              </w:rPr>
              <w:t>Estado de funcionamiento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0 08 033</w:t>
            </w:r>
          </w:p>
        </w:tc>
        <w:tc>
          <w:tcPr>
            <w:tcW w:type="dxa" w:w="1514"/>
          </w:tcPr>
          <w:p>
            <w:pPr>
              <w:spacing w:before="20" w:after="20"/>
            </w:pPr>
            <w:r/>
            <w:r>
              <w:rPr>
                <w:rFonts w:ascii="Verdana" w:hAnsi="Verdana"/>
                <w:b w:val="0"/>
                <w:sz w:val="16"/>
              </w:rPr>
              <w:t>Método de derivación del porcentaje de confianza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50: El descritpor 0 08 092 relativo a la expresión de la incertidumbre de medición y el descriptor 0 08 093 relativo a la significación de la incertidumbre de medición están relacionados con todas las incertidumbres de los parámetros proporcionados en la sección sobre datos de retrodispersión.</w:t>
            </w:r>
          </w:p>
        </w:tc>
      </w:tr>
      <w:tr>
        <w:trPr>
          <w:cantSplit/>
        </w:trPr>
        <w:tc>
          <w:tcPr>
            <w:tcW w:type="dxa" w:w="1514"/>
          </w:tcPr>
          <w:p>
            <w:pPr>
              <w:spacing w:before="20" w:after="20"/>
            </w:pPr>
            <w:r/>
            <w:r>
              <w:rPr>
                <w:rFonts w:ascii="Verdana" w:hAnsi="Verdana"/>
                <w:b w:val="0"/>
                <w:sz w:val="16"/>
              </w:rPr>
              <w:t>0 08 034</w:t>
            </w:r>
          </w:p>
        </w:tc>
        <w:tc>
          <w:tcPr>
            <w:tcW w:type="dxa" w:w="1514"/>
          </w:tcPr>
          <w:p>
            <w:pPr>
              <w:spacing w:before="20" w:after="20"/>
            </w:pPr>
            <w:r/>
            <w:r>
              <w:rPr>
                <w:rFonts w:ascii="Verdana" w:hAnsi="Verdana"/>
                <w:b w:val="0"/>
                <w:sz w:val="16"/>
              </w:rPr>
              <w:t>Calificador de medición de la temperatura/salinidad</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0 08 035</w:t>
            </w:r>
          </w:p>
        </w:tc>
        <w:tc>
          <w:tcPr>
            <w:tcW w:type="dxa" w:w="1514"/>
          </w:tcPr>
          <w:p>
            <w:pPr>
              <w:spacing w:before="20" w:after="20"/>
            </w:pPr>
            <w:r/>
            <w:r>
              <w:rPr>
                <w:rFonts w:ascii="Verdana" w:hAnsi="Verdana"/>
                <w:b w:val="0"/>
                <w:sz w:val="16"/>
              </w:rPr>
              <w:t>Tipo de ejercicio de control</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0 08 036</w:t>
            </w:r>
          </w:p>
        </w:tc>
        <w:tc>
          <w:tcPr>
            <w:tcW w:type="dxa" w:w="1514"/>
          </w:tcPr>
          <w:p>
            <w:pPr>
              <w:spacing w:before="20" w:after="20"/>
            </w:pPr>
            <w:r/>
            <w:r>
              <w:rPr>
                <w:rFonts w:ascii="Verdana" w:hAnsi="Verdana"/>
                <w:b w:val="0"/>
                <w:sz w:val="16"/>
              </w:rPr>
              <w:t>Tipo de centro o estación que realiza el control</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0 08 037</w:t>
            </w:r>
          </w:p>
        </w:tc>
        <w:tc>
          <w:tcPr>
            <w:tcW w:type="dxa" w:w="1514"/>
          </w:tcPr>
          <w:p>
            <w:pPr>
              <w:spacing w:before="20" w:after="20"/>
            </w:pPr>
            <w:r/>
            <w:r>
              <w:rPr>
                <w:rFonts w:ascii="Verdana" w:hAnsi="Verdana"/>
                <w:b w:val="0"/>
                <w:sz w:val="16"/>
              </w:rPr>
              <w:t>Significación de la comprobación de la línea de referencia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0 08 038</w:t>
            </w:r>
          </w:p>
        </w:tc>
        <w:tc>
          <w:tcPr>
            <w:tcW w:type="dxa" w:w="1514"/>
          </w:tcPr>
          <w:p>
            <w:pPr>
              <w:spacing w:before="20" w:after="20"/>
            </w:pPr>
            <w:r/>
            <w:r>
              <w:rPr>
                <w:rFonts w:ascii="Verdana" w:hAnsi="Verdana"/>
                <w:b w:val="0"/>
                <w:sz w:val="16"/>
              </w:rPr>
              <w:t>Significación de los datos proporcionados por el instrumento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0 08 039</w:t>
            </w:r>
          </w:p>
        </w:tc>
        <w:tc>
          <w:tcPr>
            <w:tcW w:type="dxa" w:w="1514"/>
          </w:tcPr>
          <w:p>
            <w:pPr>
              <w:spacing w:before="20" w:after="20"/>
            </w:pPr>
            <w:r/>
            <w:r>
              <w:rPr>
                <w:rFonts w:ascii="Verdana" w:hAnsi="Verdana"/>
                <w:b w:val="0"/>
                <w:sz w:val="16"/>
              </w:rPr>
              <w:t>Significación temporal (predicción aeronáutica)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0 08 040</w:t>
            </w:r>
          </w:p>
        </w:tc>
        <w:tc>
          <w:tcPr>
            <w:tcW w:type="dxa" w:w="1514"/>
          </w:tcPr>
          <w:p>
            <w:pPr>
              <w:spacing w:before="20" w:after="20"/>
            </w:pPr>
            <w:r/>
            <w:r>
              <w:rPr>
                <w:rFonts w:ascii="Verdana" w:hAnsi="Verdana"/>
                <w:b w:val="0"/>
                <w:sz w:val="16"/>
              </w:rPr>
              <w:t>Significación del nivel de vuelo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0 08 041</w:t>
            </w:r>
          </w:p>
        </w:tc>
        <w:tc>
          <w:tcPr>
            <w:tcW w:type="dxa" w:w="1514"/>
          </w:tcPr>
          <w:p>
            <w:pPr>
              <w:spacing w:before="20" w:after="20"/>
            </w:pPr>
            <w:r/>
            <w:r>
              <w:rPr>
                <w:rFonts w:ascii="Verdana" w:hAnsi="Verdana"/>
                <w:b w:val="0"/>
                <w:sz w:val="16"/>
              </w:rPr>
              <w:t>Significación de datos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0 08 042</w:t>
            </w:r>
          </w:p>
        </w:tc>
        <w:tc>
          <w:tcPr>
            <w:tcW w:type="dxa" w:w="1514"/>
          </w:tcPr>
          <w:p>
            <w:pPr>
              <w:spacing w:before="20" w:after="20"/>
            </w:pPr>
            <w:r/>
            <w:r>
              <w:rPr>
                <w:rFonts w:ascii="Verdana" w:hAnsi="Verdana"/>
                <w:b w:val="0"/>
                <w:sz w:val="16"/>
              </w:rPr>
              <w:t>Significación del sondeo vertical ampliado</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0 08 043</w:t>
            </w:r>
          </w:p>
        </w:tc>
        <w:tc>
          <w:tcPr>
            <w:tcW w:type="dxa" w:w="1514"/>
          </w:tcPr>
          <w:p>
            <w:pPr>
              <w:spacing w:before="20" w:after="20"/>
            </w:pPr>
            <w:r/>
            <w:r>
              <w:rPr>
                <w:rFonts w:ascii="Verdana" w:hAnsi="Verdana"/>
                <w:b w:val="0"/>
                <w:sz w:val="16"/>
              </w:rPr>
              <w:t>Tipo de componente atmosférico químico o físico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169: Cuando se utilice el descriptor 0 08 043 para especificar materia en forma de partículas por debajo de un umbral de tamaño dado, podrá utilizarse también el descriptor 0 08 044 o el 0 08 046 para especificar un subconjunto de la población de partículas en base a su composición iónica.</w:t>
            </w:r>
          </w:p>
        </w:tc>
      </w:tr>
      <w:tr>
        <w:trPr>
          <w:cantSplit/>
        </w:trPr>
        <w:tc>
          <w:tcPr>
            <w:tcW w:type="dxa" w:w="1514"/>
          </w:tcPr>
          <w:p>
            <w:pPr>
              <w:spacing w:before="20" w:after="20"/>
            </w:pPr>
            <w:r/>
            <w:r>
              <w:rPr>
                <w:rFonts w:ascii="Verdana" w:hAnsi="Verdana"/>
                <w:b w:val="0"/>
                <w:sz w:val="16"/>
              </w:rPr>
              <w:t>0 08 044</w:t>
            </w:r>
          </w:p>
        </w:tc>
        <w:tc>
          <w:tcPr>
            <w:tcW w:type="dxa" w:w="1514"/>
          </w:tcPr>
          <w:p>
            <w:pPr>
              <w:spacing w:before="20" w:after="20"/>
            </w:pPr>
            <w:r/>
            <w:r>
              <w:rPr>
                <w:rFonts w:ascii="Verdana" w:hAnsi="Verdana"/>
                <w:b w:val="0"/>
                <w:sz w:val="16"/>
              </w:rPr>
              <w:t>Número de registro del CAS</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88</w:t>
            </w:r>
          </w:p>
        </w:tc>
        <w:tc>
          <w:tcPr>
            <w:tcW w:type="dxa" w:w="1514"/>
          </w:tcPr>
          <w:p>
            <w:pPr>
              <w:spacing w:before="20" w:after="20"/>
            </w:pPr>
            <w:r/>
            <w:r>
              <w:rPr>
                <w:rFonts w:ascii="Verdana" w:hAnsi="Verdana"/>
                <w:sz w:val="16"/>
              </w:rPr>
              <w:t>Caracteres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0 08 046</w:t>
            </w:r>
          </w:p>
        </w:tc>
        <w:tc>
          <w:tcPr>
            <w:tcW w:type="dxa" w:w="1514"/>
          </w:tcPr>
          <w:p>
            <w:pPr>
              <w:spacing w:before="20" w:after="20"/>
            </w:pPr>
            <w:r/>
            <w:r>
              <w:rPr>
                <w:rFonts w:ascii="Verdana" w:hAnsi="Verdana"/>
                <w:b w:val="0"/>
                <w:sz w:val="16"/>
              </w:rPr>
              <w:t>Tipo de componente químico o físico atmosférico</w:t>
            </w:r>
          </w:p>
        </w:tc>
        <w:tc>
          <w:tcPr>
            <w:tcW w:type="dxa" w:w="1514"/>
          </w:tcPr>
          <w:p>
            <w:pPr>
              <w:spacing w:before="20" w:after="20"/>
            </w:pPr>
            <w:r/>
            <w:r>
              <w:rPr>
                <w:rFonts w:ascii="Verdana" w:hAnsi="Verdana"/>
                <w:sz w:val="16"/>
              </w:rPr>
              <w:t>Tabla de cifrado común C-14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Tabla de cifrado común C-14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0 08 049</w:t>
            </w:r>
          </w:p>
        </w:tc>
        <w:tc>
          <w:tcPr>
            <w:tcW w:type="dxa" w:w="1514"/>
          </w:tcPr>
          <w:p>
            <w:pPr>
              <w:spacing w:before="20" w:after="20"/>
            </w:pPr>
            <w:r/>
            <w:r>
              <w:rPr>
                <w:rFonts w:ascii="Verdana" w:hAnsi="Verdana"/>
                <w:b w:val="0"/>
                <w:sz w:val="16"/>
              </w:rPr>
              <w:t>Número de observaciones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0 08 050</w:t>
            </w:r>
          </w:p>
        </w:tc>
        <w:tc>
          <w:tcPr>
            <w:tcW w:type="dxa" w:w="1514"/>
          </w:tcPr>
          <w:p>
            <w:pPr>
              <w:spacing w:before="20" w:after="20"/>
            </w:pPr>
            <w:r/>
            <w:r>
              <w:rPr>
                <w:rFonts w:ascii="Verdana" w:hAnsi="Verdana"/>
                <w:b w:val="0"/>
                <w:sz w:val="16"/>
              </w:rPr>
              <w:t>Calificador del número de valores faltantes en el cálculo de estadísticas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0 08 051</w:t>
            </w:r>
          </w:p>
        </w:tc>
        <w:tc>
          <w:tcPr>
            <w:tcW w:type="dxa" w:w="1514"/>
          </w:tcPr>
          <w:p>
            <w:pPr>
              <w:spacing w:before="20" w:after="20"/>
            </w:pPr>
            <w:r/>
            <w:r>
              <w:rPr>
                <w:rFonts w:ascii="Verdana" w:hAnsi="Verdana"/>
                <w:b w:val="0"/>
                <w:sz w:val="16"/>
              </w:rPr>
              <w:t>Calificador del número de valores faltantes en el cálculo de estadísticas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0 08 052</w:t>
            </w:r>
          </w:p>
        </w:tc>
        <w:tc>
          <w:tcPr>
            <w:tcW w:type="dxa" w:w="1514"/>
          </w:tcPr>
          <w:p>
            <w:pPr>
              <w:spacing w:before="20" w:after="20"/>
            </w:pPr>
            <w:r/>
            <w:r>
              <w:rPr>
                <w:rFonts w:ascii="Verdana" w:hAnsi="Verdana"/>
                <w:b w:val="0"/>
                <w:sz w:val="16"/>
              </w:rPr>
              <w:t>Condición por la que se deduce el número de días de ocurrencia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0 08 053</w:t>
            </w:r>
          </w:p>
        </w:tc>
        <w:tc>
          <w:tcPr>
            <w:tcW w:type="dxa" w:w="1514"/>
          </w:tcPr>
          <w:p>
            <w:pPr>
              <w:spacing w:before="20" w:after="20"/>
            </w:pPr>
            <w:r/>
            <w:r>
              <w:rPr>
                <w:rFonts w:ascii="Verdana" w:hAnsi="Verdana"/>
                <w:b w:val="0"/>
                <w:sz w:val="16"/>
              </w:rPr>
              <w:t>Calificador del día de ocurrencia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0 08 054</w:t>
            </w:r>
          </w:p>
        </w:tc>
        <w:tc>
          <w:tcPr>
            <w:tcW w:type="dxa" w:w="1514"/>
          </w:tcPr>
          <w:p>
            <w:pPr>
              <w:spacing w:before="20" w:after="20"/>
            </w:pPr>
            <w:r/>
            <w:r>
              <w:rPr>
                <w:rFonts w:ascii="Verdana" w:hAnsi="Verdana"/>
                <w:b w:val="0"/>
                <w:sz w:val="16"/>
              </w:rPr>
              <w:t>Calificador de la velocidad del viento o de las ráfagas de viento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0 08 060</w:t>
            </w:r>
          </w:p>
        </w:tc>
        <w:tc>
          <w:tcPr>
            <w:tcW w:type="dxa" w:w="1514"/>
          </w:tcPr>
          <w:p>
            <w:pPr>
              <w:spacing w:before="20" w:after="20"/>
            </w:pPr>
            <w:r/>
            <w:r>
              <w:rPr>
                <w:rFonts w:ascii="Verdana" w:hAnsi="Verdana"/>
                <w:b w:val="0"/>
                <w:sz w:val="16"/>
              </w:rPr>
              <w:t>Significación del modo de exploración de la muestra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0 08 065</w:t>
            </w:r>
          </w:p>
        </w:tc>
        <w:tc>
          <w:tcPr>
            <w:tcW w:type="dxa" w:w="1514"/>
          </w:tcPr>
          <w:p>
            <w:pPr>
              <w:spacing w:before="20" w:after="20"/>
            </w:pPr>
            <w:r/>
            <w:r>
              <w:rPr>
                <w:rFonts w:ascii="Verdana" w:hAnsi="Verdana"/>
                <w:b w:val="0"/>
                <w:sz w:val="16"/>
              </w:rPr>
              <w:t>Indicador de destello solar</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0 08 066</w:t>
            </w:r>
          </w:p>
        </w:tc>
        <w:tc>
          <w:tcPr>
            <w:tcW w:type="dxa" w:w="1514"/>
          </w:tcPr>
          <w:p>
            <w:pPr>
              <w:spacing w:before="20" w:after="20"/>
            </w:pPr>
            <w:r/>
            <w:r>
              <w:rPr>
                <w:rFonts w:ascii="Verdana" w:hAnsi="Verdana"/>
                <w:b w:val="0"/>
                <w:sz w:val="16"/>
              </w:rPr>
              <w:t>Indicador de semitransparencia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0 08 070</w:t>
            </w:r>
          </w:p>
        </w:tc>
        <w:tc>
          <w:tcPr>
            <w:tcW w:type="dxa" w:w="1514"/>
          </w:tcPr>
          <w:p>
            <w:pPr>
              <w:spacing w:before="20" w:after="20"/>
            </w:pPr>
            <w:r/>
            <w:r>
              <w:rPr>
                <w:rFonts w:ascii="Verdana" w:hAnsi="Verdana"/>
                <w:b w:val="0"/>
                <w:sz w:val="16"/>
              </w:rPr>
              <w:t>Calificador del producto de sondeo vertical</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0 08 072</w:t>
            </w:r>
          </w:p>
        </w:tc>
        <w:tc>
          <w:tcPr>
            <w:tcW w:type="dxa" w:w="1514"/>
          </w:tcPr>
          <w:p>
            <w:pPr>
              <w:spacing w:before="20" w:after="20"/>
            </w:pPr>
            <w:r/>
            <w:r>
              <w:rPr>
                <w:rFonts w:ascii="Verdana" w:hAnsi="Verdana"/>
                <w:b w:val="0"/>
                <w:sz w:val="16"/>
              </w:rPr>
              <w:t>Tipo de píxel(es)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0 08 074</w:t>
            </w:r>
          </w:p>
        </w:tc>
        <w:tc>
          <w:tcPr>
            <w:tcW w:type="dxa" w:w="1514"/>
          </w:tcPr>
          <w:p>
            <w:pPr>
              <w:spacing w:before="20" w:after="20"/>
            </w:pPr>
            <w:r/>
            <w:r>
              <w:rPr>
                <w:rFonts w:ascii="Verdana" w:hAnsi="Verdana"/>
                <w:b w:val="0"/>
                <w:sz w:val="16"/>
              </w:rPr>
              <w:t>Tipo de eco del altímetro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0 08 075</w:t>
            </w:r>
          </w:p>
        </w:tc>
        <w:tc>
          <w:tcPr>
            <w:tcW w:type="dxa" w:w="1514"/>
          </w:tcPr>
          <w:p>
            <w:pPr>
              <w:spacing w:before="20" w:after="20"/>
            </w:pPr>
            <w:r/>
            <w:r>
              <w:rPr>
                <w:rFonts w:ascii="Verdana" w:hAnsi="Verdana"/>
                <w:b w:val="0"/>
                <w:sz w:val="16"/>
              </w:rPr>
              <w:t>Calificador de órbita ascendente/descendente</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0 08 076</w:t>
            </w:r>
          </w:p>
        </w:tc>
        <w:tc>
          <w:tcPr>
            <w:tcW w:type="dxa" w:w="1514"/>
          </w:tcPr>
          <w:p>
            <w:pPr>
              <w:spacing w:before="20" w:after="20"/>
            </w:pPr>
            <w:r/>
            <w:r>
              <w:rPr>
                <w:rFonts w:ascii="Verdana" w:hAnsi="Verdana"/>
                <w:b w:val="0"/>
                <w:sz w:val="16"/>
              </w:rPr>
              <w:t>Tipo de banda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0 08 077</w:t>
            </w:r>
          </w:p>
        </w:tc>
        <w:tc>
          <w:tcPr>
            <w:tcW w:type="dxa" w:w="1514"/>
          </w:tcPr>
          <w:p>
            <w:pPr>
              <w:spacing w:before="20" w:after="20"/>
            </w:pPr>
            <w:r/>
            <w:r>
              <w:rPr>
                <w:rFonts w:ascii="Verdana" w:hAnsi="Verdana"/>
                <w:b w:val="0"/>
                <w:sz w:val="16"/>
              </w:rPr>
              <w:t>Tipo de superficie detectada mediante radiómetro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0 08 079</w:t>
            </w:r>
          </w:p>
        </w:tc>
        <w:tc>
          <w:tcPr>
            <w:tcW w:type="dxa" w:w="1514"/>
          </w:tcPr>
          <w:p>
            <w:pPr>
              <w:spacing w:before="20" w:after="20"/>
            </w:pPr>
            <w:r/>
            <w:r>
              <w:rPr>
                <w:rFonts w:ascii="Verdana" w:hAnsi="Verdana"/>
                <w:b w:val="0"/>
                <w:sz w:val="16"/>
              </w:rPr>
              <w:t>Estado del producto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0 08 080</w:t>
            </w:r>
          </w:p>
        </w:tc>
        <w:tc>
          <w:tcPr>
            <w:tcW w:type="dxa" w:w="1514"/>
          </w:tcPr>
          <w:p>
            <w:pPr>
              <w:spacing w:before="20" w:after="20"/>
            </w:pPr>
            <w:r/>
            <w:r>
              <w:rPr>
                <w:rFonts w:ascii="Verdana" w:hAnsi="Verdana"/>
                <w:b w:val="0"/>
                <w:sz w:val="16"/>
              </w:rPr>
              <w:t>Calificador del banderín de calidad del GTSPP</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0 08 081</w:t>
            </w:r>
          </w:p>
        </w:tc>
        <w:tc>
          <w:tcPr>
            <w:tcW w:type="dxa" w:w="1514"/>
          </w:tcPr>
          <w:p>
            <w:pPr>
              <w:spacing w:before="20" w:after="20"/>
            </w:pPr>
            <w:r/>
            <w:r>
              <w:rPr>
                <w:rFonts w:ascii="Verdana" w:hAnsi="Verdana"/>
                <w:b w:val="0"/>
                <w:sz w:val="16"/>
              </w:rPr>
              <w:t>Tipo de equipo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0 08 082</w:t>
            </w:r>
          </w:p>
        </w:tc>
        <w:tc>
          <w:tcPr>
            <w:tcW w:type="dxa" w:w="1514"/>
          </w:tcPr>
          <w:p>
            <w:pPr>
              <w:spacing w:before="20" w:after="20"/>
            </w:pPr>
            <w:r/>
            <w:r>
              <w:rPr>
                <w:rFonts w:ascii="Verdana" w:hAnsi="Verdana"/>
                <w:b w:val="0"/>
                <w:sz w:val="16"/>
              </w:rPr>
              <w:t>Modificación de la altura del sensor a otro valor</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0 08 083</w:t>
            </w:r>
          </w:p>
        </w:tc>
        <w:tc>
          <w:tcPr>
            <w:tcW w:type="dxa" w:w="1514"/>
          </w:tcPr>
          <w:p>
            <w:pPr>
              <w:spacing w:before="20" w:after="20"/>
            </w:pPr>
            <w:r/>
            <w:r>
              <w:rPr>
                <w:rFonts w:ascii="Verdana" w:hAnsi="Verdana"/>
                <w:b w:val="0"/>
                <w:sz w:val="16"/>
              </w:rPr>
              <w:t>Indicador del valor nominal</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0 08 085</w:t>
            </w:r>
          </w:p>
        </w:tc>
        <w:tc>
          <w:tcPr>
            <w:tcW w:type="dxa" w:w="1514"/>
          </w:tcPr>
          <w:p>
            <w:pPr>
              <w:spacing w:before="20" w:after="20"/>
            </w:pPr>
            <w:r/>
            <w:r>
              <w:rPr>
                <w:rFonts w:ascii="Verdana" w:hAnsi="Verdana"/>
                <w:b w:val="0"/>
                <w:sz w:val="16"/>
              </w:rPr>
              <w:t>Identificador del haz</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0 08 086</w:t>
            </w:r>
          </w:p>
        </w:tc>
        <w:tc>
          <w:tcPr>
            <w:tcW w:type="dxa" w:w="1514"/>
          </w:tcPr>
          <w:p>
            <w:pPr>
              <w:spacing w:before="20" w:after="20"/>
            </w:pPr>
            <w:r/>
            <w:r>
              <w:rPr>
                <w:rFonts w:ascii="Verdana" w:hAnsi="Verdana"/>
                <w:b w:val="0"/>
                <w:sz w:val="16"/>
              </w:rPr>
              <w:t>Significación vertical para predicción numérica del tiempo</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0 08 087</w:t>
            </w:r>
          </w:p>
        </w:tc>
        <w:tc>
          <w:tcPr>
            <w:tcW w:type="dxa" w:w="1514"/>
          </w:tcPr>
          <w:p>
            <w:pPr>
              <w:spacing w:before="20" w:after="20"/>
            </w:pPr>
            <w:r/>
            <w:r>
              <w:rPr>
                <w:rFonts w:ascii="Verdana" w:hAnsi="Verdana"/>
                <w:b w:val="0"/>
                <w:sz w:val="16"/>
              </w:rPr>
              <w:t>Posición esquinera de la observación</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0 08 088</w:t>
            </w:r>
          </w:p>
        </w:tc>
        <w:tc>
          <w:tcPr>
            <w:tcW w:type="dxa" w:w="1514"/>
          </w:tcPr>
          <w:p>
            <w:pPr>
              <w:spacing w:before="20" w:after="20"/>
            </w:pPr>
            <w:r/>
            <w:r>
              <w:rPr>
                <w:rFonts w:ascii="Verdana" w:hAnsi="Verdana"/>
                <w:b w:val="0"/>
                <w:sz w:val="16"/>
              </w:rPr>
              <w:t>Significación del mapa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0 08 090</w:t>
            </w:r>
          </w:p>
        </w:tc>
        <w:tc>
          <w:tcPr>
            <w:tcW w:type="dxa" w:w="1514"/>
          </w:tcPr>
          <w:p>
            <w:pPr>
              <w:spacing w:before="20" w:after="20"/>
            </w:pPr>
            <w:r/>
            <w:r>
              <w:rPr>
                <w:rFonts w:ascii="Verdana" w:hAnsi="Verdana"/>
                <w:b w:val="0"/>
                <w:sz w:val="16"/>
              </w:rPr>
              <w:t>Escala decimal de los significandos siguientes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-127</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51: Se debería expresar, de estar disponible, el número de años faltantes del período de referencia del cálculo de la normal para la temperatura extrema media del aire, para el cálculo de las temperaturas máxima y mínima normal, además del número de años faltantes para las temperaturas extremas del aire que se comunican con la cifra 0 08 020 precedida de 0 08 050 en la que se utiliza la figura 3.</w:t>
            </w:r>
          </w:p>
        </w:tc>
      </w:tr>
      <w:tr>
        <w:trPr>
          <w:cantSplit/>
        </w:trPr>
        <w:tc>
          <w:tcPr>
            <w:tcW w:type="dxa" w:w="1514"/>
          </w:tcPr>
          <w:p>
            <w:pPr>
              <w:spacing w:before="20" w:after="20"/>
            </w:pPr>
            <w:r/>
            <w:r>
              <w:rPr>
                <w:rFonts w:ascii="Verdana" w:hAnsi="Verdana"/>
                <w:b w:val="0"/>
                <w:sz w:val="16"/>
              </w:rPr>
              <w:t>0 08 091</w:t>
            </w:r>
          </w:p>
        </w:tc>
        <w:tc>
          <w:tcPr>
            <w:tcW w:type="dxa" w:w="1514"/>
          </w:tcPr>
          <w:p>
            <w:pPr>
              <w:spacing w:before="20" w:after="20"/>
            </w:pPr>
            <w:r/>
            <w:r>
              <w:rPr>
                <w:rFonts w:ascii="Verdana" w:hAnsi="Verdana"/>
                <w:b w:val="0"/>
                <w:sz w:val="16"/>
              </w:rPr>
              <w:t>Significación de las coordenadas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0 08 092</w:t>
            </w:r>
          </w:p>
        </w:tc>
        <w:tc>
          <w:tcPr>
            <w:tcW w:type="dxa" w:w="1514"/>
          </w:tcPr>
          <w:p>
            <w:pPr>
              <w:spacing w:before="20" w:after="20"/>
            </w:pPr>
            <w:r/>
            <w:r>
              <w:rPr>
                <w:rFonts w:ascii="Verdana" w:hAnsi="Verdana"/>
                <w:b w:val="0"/>
                <w:sz w:val="16"/>
              </w:rPr>
              <w:t>Expresión de la incertidumbre en la medición</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0 08 093</w:t>
            </w:r>
          </w:p>
        </w:tc>
        <w:tc>
          <w:tcPr>
            <w:tcW w:type="dxa" w:w="1514"/>
          </w:tcPr>
          <w:p>
            <w:pPr>
              <w:spacing w:before="20" w:after="20"/>
            </w:pPr>
            <w:r/>
            <w:r>
              <w:rPr>
                <w:rFonts w:ascii="Verdana" w:hAnsi="Verdana"/>
                <w:b w:val="0"/>
                <w:sz w:val="16"/>
              </w:rPr>
              <w:t>Significación de la incertidumbre en la medición</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bl>
    <w:p/>
    <w:p>
      <w:r>
        <w:rPr>
          <w:rFonts w:ascii="Verdana" w:hAnsi="Verdana"/>
          <w:i/>
          <w:sz w:val="14"/>
        </w:rPr>
        <w:t>Note 25: Una significación definida anteriormente puede anularse transmitiendo un “valor faltante” a partir de la tabla de cifrado o de banderines apropiada.</w:t>
      </w:r>
    </w:p>
    <w:p>
      <w:r>
        <w:rPr>
          <w:rFonts w:ascii="Verdana" w:hAnsi="Verdana"/>
          <w:i/>
          <w:sz w:val="14"/>
        </w:rPr>
        <w:t>Note 179: Cuando se acumulen o promedien los valores (por ejemplo en relación con un determinado período de tiempo), el número total de valores de los que se obtienen los valores acumulados o promediados podrán representarse utilizando la referencia 0 08 022.</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