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14: Radiación y radiancia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larga,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larga,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corta,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de onda corta,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de onda larga,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de onda larga, integrada durante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de onda corta,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de onda corta, integrada durante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neta,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instantánea de onda larga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instantánea de onda corta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 en superficie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global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global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difusa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difusa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directa integrada durante 24 horas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directa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 en la cima de las nubes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global (gran precisión)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difusa (gran precisión)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directa (gran precisión)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Insolación total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Insolación total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Insolación total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Insolación integrada en un período determinado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Flujo de radiación solar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Reflexión bidireccional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del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µm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µm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35: El desplazamiento o período largo 0 04 086 representa la diferencia de tiempo desde el momento del lanzamiento 3 01 013 (en segundos).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del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del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36: El desplazamiento o período largo 0 04 086 en la secuencia representa la diferencia de tiempo desde el momento del lanzamiento 3 01 113 (en segundos).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IASI ajustada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29: En este caso, el término “adelgazamiento” hace referencia a un método que es posible aplicar para seleccionar un subconjunto de niveles de un modelo que podría tener gran número de niveles verticales nativos. Al selec- cionar solo un subconjunto se reduce el tamaño del pseudosondeo, posiblemente a costa de una pérdida de información y de un mayor procesamiento.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media ajustada 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 la desviación estándar ajustada 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Emisividad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Esta secuencia queda relegada por utilización incorrecta del descriptor 0 04 075; en su lugar debería utilizarse la secuencia 3 06 019.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directa integrada durante la última hora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solar ascendente mundial, integrada en un período especificado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neta (gran precisión), integrada en un período especificado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Radiación fotosintéticamente activa, integrada en un período especificado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actividad solar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Lumicia de fondo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Cd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Cd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Flujo de calor del suelo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Irradiación UV mundial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Jm-2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83: La irradiación UV mundial (0 14 072) es energía UV integrada en un período especificado y para una banda espectral especificada. El descriptor 0 14 072 irá precedido de un descriptor del período de tiempo, de la longitud de onda espectrográfica (0 02 071) y la anchura espectrográfica (0 02 072). Por ejemplo, si se utiliza 0 14 072 para la irradiación UV-B mundial, 0 02 071 y 0 02 072 especificarán una banda espectral comprendida entre 280 y 315 nm.</w:t>
            </w:r>
          </w:p>
        </w:tc>
      </w:tr>
    </w:tbl>
    <w:p/>
    <w:p>
      <w:r>
        <w:rPr>
          <w:rFonts w:ascii="Verdana" w:hAnsi="Verdana"/>
          <w:i/>
          <w:sz w:val="14"/>
        </w:rPr>
        <w:t>Note 63: Se asignarán valores positivos a la radiación descendente.</w:t>
      </w:r>
    </w:p>
    <w:p>
      <w:r>
        <w:rPr>
          <w:rFonts w:ascii="Verdana" w:hAnsi="Verdana"/>
          <w:i/>
          <w:sz w:val="14"/>
        </w:rPr>
        <w:t>Note 160: Se asignarán valores negativos a la radiación ascendente.</w:t>
      </w:r>
    </w:p>
    <w:p>
      <w:r>
        <w:rPr>
          <w:rFonts w:ascii="Verdana" w:hAnsi="Verdana"/>
          <w:i/>
          <w:sz w:val="14"/>
        </w:rPr>
        <w:t>Note 178: Cuando se indique la expresión “período determinado” en la columna “nombre del elemento”, deberá indicarse el período correspondiente, utilizando referencias de la Clase 04.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