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20: Fenómenos observados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NOMBRE DEL ELEMENTO</w:t>
            </w:r>
          </w:p>
        </w:tc>
        <w:tc>
          <w:tcPr>
            <w:tcW w:type="dxa" w:w="1514"/>
            <w:shd w:val="clear" w:color="auto" w:fill="D9D9D9"/>
          </w:tcPr>
          <w:p>
            <w:pPr>
              <w:spacing w:before="20" w:after="20"/>
            </w:pPr>
            <w:r/>
            <w:r>
              <w:rPr>
                <w:rFonts w:ascii="Verdana" w:hAnsi="Verdana"/>
                <w:b w:val="0"/>
                <w:sz w:val="16"/>
              </w:rPr>
              <w:t>UNIDAD BUFR</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VAL. REF.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UNIDAD CREX</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NOTA</w:t>
            </w:r>
          </w:p>
        </w:tc>
      </w:tr>
      <w:tr>
        <w:trPr>
          <w:cantSplit/>
        </w:trPr>
        <w:tc>
          <w:tcPr>
            <w:tcW w:type="dxa" w:w="1514"/>
          </w:tcPr>
          <w:p>
            <w:pPr>
              <w:spacing w:before="20" w:after="20"/>
            </w:pPr>
            <w:r/>
            <w:r>
              <w:rPr>
                <w:rFonts w:ascii="Verdana" w:hAnsi="Verdana"/>
                <w:b w:val="0"/>
                <w:sz w:val="16"/>
              </w:rPr>
              <w:t>0 20 001</w:t>
            </w:r>
          </w:p>
        </w:tc>
        <w:tc>
          <w:tcPr>
            <w:tcW w:type="dxa" w:w="1514"/>
          </w:tcPr>
          <w:p>
            <w:pPr>
              <w:spacing w:before="20" w:after="20"/>
            </w:pPr>
            <w:r/>
            <w:r>
              <w:rPr>
                <w:rFonts w:ascii="Verdana" w:hAnsi="Verdana"/>
                <w:b w:val="0"/>
                <w:sz w:val="16"/>
              </w:rPr>
              <w:t>Visibilidad horizontal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0 20 002</w:t>
            </w:r>
          </w:p>
        </w:tc>
        <w:tc>
          <w:tcPr>
            <w:tcW w:type="dxa" w:w="1514"/>
          </w:tcPr>
          <w:p>
            <w:pPr>
              <w:spacing w:before="20" w:after="20"/>
            </w:pPr>
            <w:r/>
            <w:r>
              <w:rPr>
                <w:rFonts w:ascii="Verdana" w:hAnsi="Verdana"/>
                <w:b w:val="0"/>
                <w:sz w:val="16"/>
              </w:rPr>
              <w:t>Visibilidad vertical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0 20 003</w:t>
            </w:r>
          </w:p>
        </w:tc>
        <w:tc>
          <w:tcPr>
            <w:tcW w:type="dxa" w:w="1514"/>
          </w:tcPr>
          <w:p>
            <w:pPr>
              <w:spacing w:before="20" w:after="20"/>
            </w:pPr>
            <w:r/>
            <w:r>
              <w:rPr>
                <w:rFonts w:ascii="Verdana" w:hAnsi="Verdana"/>
                <w:b w:val="0"/>
                <w:sz w:val="16"/>
              </w:rPr>
              <w:t>Tiempo presente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172: Para cifrar el tiempo presente notificado desde una estación meteorológica automática debería usarse y preferirse la combinación de los descriptores 0 20 021, 0 20 022, 0 20 023, 0 20 024, 0 20 025, 0 20 026 y 0 20 027. El descriptor 0 20 003 debería utilizarse únicamente cuando no sean aplicables los descriptores mencionados más arriba.</w:t>
            </w:r>
          </w:p>
        </w:tc>
      </w:tr>
      <w:tr>
        <w:trPr>
          <w:cantSplit/>
        </w:trPr>
        <w:tc>
          <w:tcPr>
            <w:tcW w:type="dxa" w:w="1514"/>
          </w:tcPr>
          <w:p>
            <w:pPr>
              <w:spacing w:before="20" w:after="20"/>
            </w:pPr>
            <w:r/>
            <w:r>
              <w:rPr>
                <w:rFonts w:ascii="Verdana" w:hAnsi="Verdana"/>
                <w:b w:val="0"/>
                <w:sz w:val="16"/>
              </w:rPr>
              <w:t>0 20 004</w:t>
            </w:r>
          </w:p>
        </w:tc>
        <w:tc>
          <w:tcPr>
            <w:tcW w:type="dxa" w:w="1514"/>
          </w:tcPr>
          <w:p>
            <w:pPr>
              <w:spacing w:before="20" w:after="20"/>
            </w:pPr>
            <w:r/>
            <w:r>
              <w:rPr>
                <w:rFonts w:ascii="Verdana" w:hAnsi="Verdana"/>
                <w:b w:val="0"/>
                <w:sz w:val="16"/>
              </w:rPr>
              <w:t>Tiempo pasado 1)</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171: Para cifrar el tiempo pasado con datos procedentes de una estación meteorológica automática debería usarse y preferirse la combinación de los descriptores 0 20 021, 0 20 022, 0 20 023, 0 20 024, 0 20 025, 0 20 026 y 0 20 027. Los descriptores 0 20 004 o 0 20 005 deberían utilizarse únicamente cuando no sean aplicables los descriptores mencionados más arriba.</w:t>
            </w:r>
          </w:p>
        </w:tc>
      </w:tr>
      <w:tr>
        <w:trPr>
          <w:cantSplit/>
        </w:trPr>
        <w:tc>
          <w:tcPr>
            <w:tcW w:type="dxa" w:w="1514"/>
          </w:tcPr>
          <w:p>
            <w:pPr>
              <w:spacing w:before="20" w:after="20"/>
            </w:pPr>
            <w:r/>
            <w:r>
              <w:rPr>
                <w:rFonts w:ascii="Verdana" w:hAnsi="Verdana"/>
                <w:b w:val="0"/>
                <w:sz w:val="16"/>
              </w:rPr>
              <w:t>0 20 005</w:t>
            </w:r>
          </w:p>
        </w:tc>
        <w:tc>
          <w:tcPr>
            <w:tcW w:type="dxa" w:w="1514"/>
          </w:tcPr>
          <w:p>
            <w:pPr>
              <w:spacing w:before="20" w:after="20"/>
            </w:pPr>
            <w:r/>
            <w:r>
              <w:rPr>
                <w:rFonts w:ascii="Verdana" w:hAnsi="Verdana"/>
                <w:b w:val="0"/>
                <w:sz w:val="16"/>
              </w:rPr>
              <w:t>Tiempo pasado 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171: Para cifrar el tiempo pasado con datos procedentes de una estación meteorológica automática debería usarse y preferirse la combinación de los descriptores 0 20 021, 0 20 022, 0 20 023, 0 20 024, 0 20 025, 0 20 026 y 0 20 027. Los descriptores 0 20 004 o 0 20 005 deberían utilizarse únicamente cuando no sean aplicables los descriptores mencionados más arriba.</w:t>
            </w:r>
          </w:p>
        </w:tc>
      </w:tr>
      <w:tr>
        <w:trPr>
          <w:cantSplit/>
        </w:trPr>
        <w:tc>
          <w:tcPr>
            <w:tcW w:type="dxa" w:w="1514"/>
          </w:tcPr>
          <w:p>
            <w:pPr>
              <w:spacing w:before="20" w:after="20"/>
            </w:pPr>
            <w:r/>
            <w:r>
              <w:rPr>
                <w:rFonts w:ascii="Verdana" w:hAnsi="Verdana"/>
                <w:b w:val="0"/>
                <w:sz w:val="16"/>
              </w:rPr>
              <w:t>0 20 006</w:t>
            </w:r>
          </w:p>
        </w:tc>
        <w:tc>
          <w:tcPr>
            <w:tcW w:type="dxa" w:w="1514"/>
          </w:tcPr>
          <w:p>
            <w:pPr>
              <w:spacing w:before="20" w:after="20"/>
            </w:pPr>
            <w:r/>
            <w:r>
              <w:rPr>
                <w:rFonts w:ascii="Verdana" w:hAnsi="Verdana"/>
                <w:b w:val="0"/>
                <w:sz w:val="16"/>
              </w:rPr>
              <w:t>Reglas de vuelo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0 20 008</w:t>
            </w:r>
          </w:p>
        </w:tc>
        <w:tc>
          <w:tcPr>
            <w:tcW w:type="dxa" w:w="1514"/>
          </w:tcPr>
          <w:p>
            <w:pPr>
              <w:spacing w:before="20" w:after="20"/>
            </w:pPr>
            <w:r/>
            <w:r>
              <w:rPr>
                <w:rFonts w:ascii="Verdana" w:hAnsi="Verdana"/>
                <w:b w:val="0"/>
                <w:sz w:val="16"/>
              </w:rPr>
              <w:t>Distribución de las nubes para la aviación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0 20 009</w:t>
            </w:r>
          </w:p>
        </w:tc>
        <w:tc>
          <w:tcPr>
            <w:tcW w:type="dxa" w:w="1514"/>
          </w:tcPr>
          <w:p>
            <w:pPr>
              <w:spacing w:before="20" w:after="20"/>
            </w:pPr>
            <w:r/>
            <w:r>
              <w:rPr>
                <w:rFonts w:ascii="Verdana" w:hAnsi="Verdana"/>
                <w:b w:val="0"/>
                <w:sz w:val="16"/>
              </w:rPr>
              <w:t>Indicador general del tiempo (TAF/METAR)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0 20 010</w:t>
            </w:r>
          </w:p>
        </w:tc>
        <w:tc>
          <w:tcPr>
            <w:tcW w:type="dxa" w:w="1514"/>
          </w:tcPr>
          <w:p>
            <w:pPr>
              <w:spacing w:before="20" w:after="20"/>
            </w:pPr>
            <w:r/>
            <w:r>
              <w:rPr>
                <w:rFonts w:ascii="Verdana" w:hAnsi="Verdana"/>
                <w:b w:val="0"/>
                <w:sz w:val="16"/>
              </w:rPr>
              <w:t>Cubierta de nubes (total)</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20: Tratándose de MOD OCNL SEV se empleará la cifra 12 (máxima en cielo despejado) o 13 (máxima en nubes).</w:t>
            </w:r>
          </w:p>
        </w:tc>
      </w:tr>
      <w:tr>
        <w:trPr>
          <w:cantSplit/>
        </w:trPr>
        <w:tc>
          <w:tcPr>
            <w:tcW w:type="dxa" w:w="1514"/>
          </w:tcPr>
          <w:p>
            <w:pPr>
              <w:spacing w:before="20" w:after="20"/>
            </w:pPr>
            <w:r/>
            <w:r>
              <w:rPr>
                <w:rFonts w:ascii="Verdana" w:hAnsi="Verdana"/>
                <w:b w:val="0"/>
                <w:sz w:val="16"/>
              </w:rPr>
              <w:t>0 20 011</w:t>
            </w:r>
          </w:p>
        </w:tc>
        <w:tc>
          <w:tcPr>
            <w:tcW w:type="dxa" w:w="1514"/>
          </w:tcPr>
          <w:p>
            <w:pPr>
              <w:spacing w:before="20" w:after="20"/>
            </w:pPr>
            <w:r/>
            <w:r>
              <w:rPr>
                <w:rFonts w:ascii="Verdana" w:hAnsi="Verdana"/>
                <w:b w:val="0"/>
                <w:sz w:val="16"/>
              </w:rPr>
              <w:t>Nubosidad</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0 20 012</w:t>
            </w:r>
          </w:p>
        </w:tc>
        <w:tc>
          <w:tcPr>
            <w:tcW w:type="dxa" w:w="1514"/>
          </w:tcPr>
          <w:p>
            <w:pPr>
              <w:spacing w:before="20" w:after="20"/>
            </w:pPr>
            <w:r/>
            <w:r>
              <w:rPr>
                <w:rFonts w:ascii="Verdana" w:hAnsi="Verdana"/>
                <w:b w:val="0"/>
                <w:sz w:val="16"/>
              </w:rPr>
              <w:t>Tipo de nubes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0 20 013</w:t>
            </w:r>
          </w:p>
        </w:tc>
        <w:tc>
          <w:tcPr>
            <w:tcW w:type="dxa" w:w="1514"/>
          </w:tcPr>
          <w:p>
            <w:pPr>
              <w:spacing w:before="20" w:after="20"/>
            </w:pPr>
            <w:r/>
            <w:r>
              <w:rPr>
                <w:rFonts w:ascii="Verdana" w:hAnsi="Verdana"/>
                <w:b w:val="0"/>
                <w:sz w:val="16"/>
              </w:rPr>
              <w:t>Altura de la base de las nubes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170: Cuando se cifre la altura de la base de las nubes entre 20 050 y 21 000 m, el valor de 0 20 013 se cifrará en 20 050; cuando se cifre la altura de la base de las nubes por encima de 21 000, el valor de 0 20 013 se cifrará en 20 060.</w:t>
            </w:r>
          </w:p>
        </w:tc>
      </w:tr>
      <w:tr>
        <w:trPr>
          <w:cantSplit/>
        </w:trPr>
        <w:tc>
          <w:tcPr>
            <w:tcW w:type="dxa" w:w="1514"/>
          </w:tcPr>
          <w:p>
            <w:pPr>
              <w:spacing w:before="20" w:after="20"/>
            </w:pPr>
            <w:r/>
            <w:r>
              <w:rPr>
                <w:rFonts w:ascii="Verdana" w:hAnsi="Verdana"/>
                <w:b w:val="0"/>
                <w:sz w:val="16"/>
              </w:rPr>
              <w:t>0 20 014</w:t>
            </w:r>
          </w:p>
        </w:tc>
        <w:tc>
          <w:tcPr>
            <w:tcW w:type="dxa" w:w="1514"/>
          </w:tcPr>
          <w:p>
            <w:pPr>
              <w:spacing w:before="20" w:after="20"/>
            </w:pPr>
            <w:r/>
            <w:r>
              <w:rPr>
                <w:rFonts w:ascii="Verdana" w:hAnsi="Verdana"/>
                <w:b w:val="0"/>
                <w:sz w:val="16"/>
              </w:rPr>
              <w:t>Altura de la cima de las nubes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0 20 015</w:t>
            </w:r>
          </w:p>
        </w:tc>
        <w:tc>
          <w:tcPr>
            <w:tcW w:type="dxa" w:w="1514"/>
          </w:tcPr>
          <w:p>
            <w:pPr>
              <w:spacing w:before="20" w:after="20"/>
            </w:pPr>
            <w:r/>
            <w:r>
              <w:rPr>
                <w:rFonts w:ascii="Verdana" w:hAnsi="Verdana"/>
                <w:b w:val="0"/>
                <w:sz w:val="16"/>
              </w:rPr>
              <w:t>Presión en la base de las nubes</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0 20 016</w:t>
            </w:r>
          </w:p>
        </w:tc>
        <w:tc>
          <w:tcPr>
            <w:tcW w:type="dxa" w:w="1514"/>
          </w:tcPr>
          <w:p>
            <w:pPr>
              <w:spacing w:before="20" w:after="20"/>
            </w:pPr>
            <w:r/>
            <w:r>
              <w:rPr>
                <w:rFonts w:ascii="Verdana" w:hAnsi="Verdana"/>
                <w:b w:val="0"/>
                <w:sz w:val="16"/>
              </w:rPr>
              <w:t>Presión en la cima de las nubes</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0 20 017</w:t>
            </w:r>
          </w:p>
        </w:tc>
        <w:tc>
          <w:tcPr>
            <w:tcW w:type="dxa" w:w="1514"/>
          </w:tcPr>
          <w:p>
            <w:pPr>
              <w:spacing w:before="20" w:after="20"/>
            </w:pPr>
            <w:r/>
            <w:r>
              <w:rPr>
                <w:rFonts w:ascii="Verdana" w:hAnsi="Verdana"/>
                <w:b w:val="0"/>
                <w:sz w:val="16"/>
              </w:rPr>
              <w:t>Descripción de la cima de las nubes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0 20 018</w:t>
            </w:r>
          </w:p>
        </w:tc>
        <w:tc>
          <w:tcPr>
            <w:tcW w:type="dxa" w:w="1514"/>
          </w:tcPr>
          <w:p>
            <w:pPr>
              <w:spacing w:before="20" w:after="20"/>
            </w:pPr>
            <w:r/>
            <w:r>
              <w:rPr>
                <w:rFonts w:ascii="Verdana" w:hAnsi="Verdana"/>
                <w:b w:val="0"/>
                <w:sz w:val="16"/>
              </w:rPr>
              <w:t>Tendencia del alcance visual en pista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0 20 019</w:t>
            </w:r>
          </w:p>
        </w:tc>
        <w:tc>
          <w:tcPr>
            <w:tcW w:type="dxa" w:w="1514"/>
          </w:tcPr>
          <w:p>
            <w:pPr>
              <w:spacing w:before="20" w:after="20"/>
            </w:pPr>
            <w:r/>
            <w:r>
              <w:rPr>
                <w:rFonts w:ascii="Verdana" w:hAnsi="Verdana"/>
                <w:b w:val="0"/>
                <w:sz w:val="16"/>
              </w:rPr>
              <w:t>Tiempo significativo presente o previsto</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72</w:t>
            </w:r>
          </w:p>
        </w:tc>
        <w:tc>
          <w:tcPr>
            <w:tcW w:type="dxa" w:w="1514"/>
          </w:tcPr>
          <w:p>
            <w:pPr>
              <w:spacing w:before="20" w:after="20"/>
            </w:pPr>
            <w:r/>
            <w:r>
              <w:rPr>
                <w:rFonts w:ascii="Verdana" w:hAnsi="Verdana"/>
                <w:sz w:val="16"/>
              </w:rPr>
              <w:t>Carácter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Note 118: Los descriptores de tiempo significativo presente o previsto (0 20 019) y de fenómenos meteorológicos recientes (0 20 020) se usarán de conformidad con la Tabla de cifrado 4678 (referencia: Manual de claves (OMM-Nº 306), volumen I.1).</w:t>
            </w:r>
          </w:p>
        </w:tc>
      </w:tr>
      <w:tr>
        <w:trPr>
          <w:cantSplit/>
        </w:trPr>
        <w:tc>
          <w:tcPr>
            <w:tcW w:type="dxa" w:w="1514"/>
          </w:tcPr>
          <w:p>
            <w:pPr>
              <w:spacing w:before="20" w:after="20"/>
            </w:pPr>
            <w:r/>
            <w:r>
              <w:rPr>
                <w:rFonts w:ascii="Verdana" w:hAnsi="Verdana"/>
                <w:b w:val="0"/>
                <w:sz w:val="16"/>
              </w:rPr>
              <w:t>0 20 020</w:t>
            </w:r>
          </w:p>
        </w:tc>
        <w:tc>
          <w:tcPr>
            <w:tcW w:type="dxa" w:w="1514"/>
          </w:tcPr>
          <w:p>
            <w:pPr>
              <w:spacing w:before="20" w:after="20"/>
            </w:pPr>
            <w:r/>
            <w:r>
              <w:rPr>
                <w:rFonts w:ascii="Verdana" w:hAnsi="Verdana"/>
                <w:b w:val="0"/>
                <w:sz w:val="16"/>
              </w:rPr>
              <w:t>Fenómenos meteorológicos recientes</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Carácter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118: Los descriptores de tiempo significativo presente o previsto (0 20 019) y de fenómenos meteorológicos recientes (0 20 020) se usarán de conformidad con la Tabla de cifrado 4678 (referencia: Manual de claves (OMM-Nº 306), volumen I.1).</w:t>
            </w:r>
          </w:p>
        </w:tc>
      </w:tr>
      <w:tr>
        <w:trPr>
          <w:cantSplit/>
        </w:trPr>
        <w:tc>
          <w:tcPr>
            <w:tcW w:type="dxa" w:w="1514"/>
          </w:tcPr>
          <w:p>
            <w:pPr>
              <w:spacing w:before="20" w:after="20"/>
            </w:pPr>
            <w:r/>
            <w:r>
              <w:rPr>
                <w:rFonts w:ascii="Verdana" w:hAnsi="Verdana"/>
                <w:b w:val="0"/>
                <w:sz w:val="16"/>
              </w:rPr>
              <w:t>0 20 021</w:t>
            </w:r>
          </w:p>
        </w:tc>
        <w:tc>
          <w:tcPr>
            <w:tcW w:type="dxa" w:w="1514"/>
          </w:tcPr>
          <w:p>
            <w:pPr>
              <w:spacing w:before="20" w:after="20"/>
            </w:pPr>
            <w:r/>
            <w:r>
              <w:rPr>
                <w:rFonts w:ascii="Verdana" w:hAnsi="Verdana"/>
                <w:b w:val="0"/>
                <w:sz w:val="16"/>
              </w:rPr>
              <w:t>Tipo de precipitación</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0 20 022</w:t>
            </w:r>
          </w:p>
        </w:tc>
        <w:tc>
          <w:tcPr>
            <w:tcW w:type="dxa" w:w="1514"/>
          </w:tcPr>
          <w:p>
            <w:pPr>
              <w:spacing w:before="20" w:after="20"/>
            </w:pPr>
            <w:r/>
            <w:r>
              <w:rPr>
                <w:rFonts w:ascii="Verdana" w:hAnsi="Verdana"/>
                <w:b w:val="0"/>
                <w:sz w:val="16"/>
              </w:rPr>
              <w:t>Naturaleza de la precipitación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0 20 023</w:t>
            </w:r>
          </w:p>
        </w:tc>
        <w:tc>
          <w:tcPr>
            <w:tcW w:type="dxa" w:w="1514"/>
          </w:tcPr>
          <w:p>
            <w:pPr>
              <w:spacing w:before="20" w:after="20"/>
            </w:pPr>
            <w:r/>
            <w:r>
              <w:rPr>
                <w:rFonts w:ascii="Verdana" w:hAnsi="Verdana"/>
                <w:b w:val="0"/>
                <w:sz w:val="16"/>
              </w:rPr>
              <w:t>Otros fenómenos meteorológicos</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0 20 024</w:t>
            </w:r>
          </w:p>
        </w:tc>
        <w:tc>
          <w:tcPr>
            <w:tcW w:type="dxa" w:w="1514"/>
          </w:tcPr>
          <w:p>
            <w:pPr>
              <w:spacing w:before="20" w:after="20"/>
            </w:pPr>
            <w:r/>
            <w:r>
              <w:rPr>
                <w:rFonts w:ascii="Verdana" w:hAnsi="Verdana"/>
                <w:b w:val="0"/>
                <w:sz w:val="16"/>
              </w:rPr>
              <w:t>Intensidad de los fenómenos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0 20 025</w:t>
            </w:r>
          </w:p>
        </w:tc>
        <w:tc>
          <w:tcPr>
            <w:tcW w:type="dxa" w:w="1514"/>
          </w:tcPr>
          <w:p>
            <w:pPr>
              <w:spacing w:before="20" w:after="20"/>
            </w:pPr>
            <w:r/>
            <w:r>
              <w:rPr>
                <w:rFonts w:ascii="Verdana" w:hAnsi="Verdana"/>
                <w:b w:val="0"/>
                <w:sz w:val="16"/>
              </w:rPr>
              <w:t>Oscurecimiento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0 20 026</w:t>
            </w:r>
          </w:p>
        </w:tc>
        <w:tc>
          <w:tcPr>
            <w:tcW w:type="dxa" w:w="1514"/>
          </w:tcPr>
          <w:p>
            <w:pPr>
              <w:spacing w:before="20" w:after="20"/>
            </w:pPr>
            <w:r/>
            <w:r>
              <w:rPr>
                <w:rFonts w:ascii="Verdana" w:hAnsi="Verdana"/>
                <w:b w:val="0"/>
                <w:sz w:val="16"/>
              </w:rPr>
              <w:t>Carácter del oscurecimiento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0 20 027</w:t>
            </w:r>
          </w:p>
        </w:tc>
        <w:tc>
          <w:tcPr>
            <w:tcW w:type="dxa" w:w="1514"/>
          </w:tcPr>
          <w:p>
            <w:pPr>
              <w:spacing w:before="20" w:after="20"/>
            </w:pPr>
            <w:r/>
            <w:r>
              <w:rPr>
                <w:rFonts w:ascii="Verdana" w:hAnsi="Verdana"/>
                <w:b w:val="0"/>
                <w:sz w:val="16"/>
              </w:rPr>
              <w:t>Ocurrencia de los fenómenos</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0 20 028</w:t>
            </w:r>
          </w:p>
        </w:tc>
        <w:tc>
          <w:tcPr>
            <w:tcW w:type="dxa" w:w="1514"/>
          </w:tcPr>
          <w:p>
            <w:pPr>
              <w:spacing w:before="20" w:after="20"/>
            </w:pPr>
            <w:r/>
            <w:r>
              <w:rPr>
                <w:rFonts w:ascii="Verdana" w:hAnsi="Verdana"/>
                <w:b w:val="0"/>
                <w:sz w:val="16"/>
              </w:rPr>
              <w:t>Cambio esperado en intensidad</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0 20 029</w:t>
            </w:r>
          </w:p>
        </w:tc>
        <w:tc>
          <w:tcPr>
            <w:tcW w:type="dxa" w:w="1514"/>
          </w:tcPr>
          <w:p>
            <w:pPr>
              <w:spacing w:before="20" w:after="20"/>
            </w:pPr>
            <w:r/>
            <w:r>
              <w:rPr>
                <w:rFonts w:ascii="Verdana" w:hAnsi="Verdana"/>
                <w:b w:val="0"/>
                <w:sz w:val="16"/>
              </w:rPr>
              <w:t>Banderín de lluvia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0 20 031</w:t>
            </w:r>
          </w:p>
        </w:tc>
        <w:tc>
          <w:tcPr>
            <w:tcW w:type="dxa" w:w="1514"/>
          </w:tcPr>
          <w:p>
            <w:pPr>
              <w:spacing w:before="20" w:after="20"/>
            </w:pPr>
            <w:r/>
            <w:r>
              <w:rPr>
                <w:rFonts w:ascii="Verdana" w:hAnsi="Verdana"/>
                <w:b w:val="0"/>
                <w:sz w:val="16"/>
              </w:rPr>
              <w:t>Depósito de hielo (espesor)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0 20 032</w:t>
            </w:r>
          </w:p>
        </w:tc>
        <w:tc>
          <w:tcPr>
            <w:tcW w:type="dxa" w:w="1514"/>
          </w:tcPr>
          <w:p>
            <w:pPr>
              <w:spacing w:before="20" w:after="20"/>
            </w:pPr>
            <w:r/>
            <w:r>
              <w:rPr>
                <w:rFonts w:ascii="Verdana" w:hAnsi="Verdana"/>
                <w:b w:val="0"/>
                <w:sz w:val="16"/>
              </w:rPr>
              <w:t>Velocidad de acumulación del hielo (estimada)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0 20 033</w:t>
            </w:r>
          </w:p>
        </w:tc>
        <w:tc>
          <w:tcPr>
            <w:tcW w:type="dxa" w:w="1514"/>
          </w:tcPr>
          <w:p>
            <w:pPr>
              <w:spacing w:before="20" w:after="20"/>
            </w:pPr>
            <w:r/>
            <w:r>
              <w:rPr>
                <w:rFonts w:ascii="Verdana" w:hAnsi="Verdana"/>
                <w:b w:val="0"/>
                <w:sz w:val="16"/>
              </w:rPr>
              <w:t>Causa de la acumulación del hielo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0 20 034</w:t>
            </w:r>
          </w:p>
        </w:tc>
        <w:tc>
          <w:tcPr>
            <w:tcW w:type="dxa" w:w="1514"/>
          </w:tcPr>
          <w:p>
            <w:pPr>
              <w:spacing w:before="20" w:after="20"/>
            </w:pPr>
            <w:r/>
            <w:r>
              <w:rPr>
                <w:rFonts w:ascii="Verdana" w:hAnsi="Verdana"/>
                <w:b w:val="0"/>
                <w:sz w:val="16"/>
              </w:rPr>
              <w:t>Concentración del hielo marino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0 20 035</w:t>
            </w:r>
          </w:p>
        </w:tc>
        <w:tc>
          <w:tcPr>
            <w:tcW w:type="dxa" w:w="1514"/>
          </w:tcPr>
          <w:p>
            <w:pPr>
              <w:spacing w:before="20" w:after="20"/>
            </w:pPr>
            <w:r/>
            <w:r>
              <w:rPr>
                <w:rFonts w:ascii="Verdana" w:hAnsi="Verdana"/>
                <w:b w:val="0"/>
                <w:sz w:val="16"/>
              </w:rPr>
              <w:t>Cantidad y tipo de hielo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0 20 036</w:t>
            </w:r>
          </w:p>
        </w:tc>
        <w:tc>
          <w:tcPr>
            <w:tcW w:type="dxa" w:w="1514"/>
          </w:tcPr>
          <w:p>
            <w:pPr>
              <w:spacing w:before="20" w:after="20"/>
            </w:pPr>
            <w:r/>
            <w:r>
              <w:rPr>
                <w:rFonts w:ascii="Verdana" w:hAnsi="Verdana"/>
                <w:b w:val="0"/>
                <w:sz w:val="16"/>
              </w:rPr>
              <w:t>Situación en el hielo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0 20 037</w:t>
            </w:r>
          </w:p>
        </w:tc>
        <w:tc>
          <w:tcPr>
            <w:tcW w:type="dxa" w:w="1514"/>
          </w:tcPr>
          <w:p>
            <w:pPr>
              <w:spacing w:before="20" w:after="20"/>
            </w:pPr>
            <w:r/>
            <w:r>
              <w:rPr>
                <w:rFonts w:ascii="Verdana" w:hAnsi="Verdana"/>
                <w:b w:val="0"/>
                <w:sz w:val="16"/>
              </w:rPr>
              <w:t>Formación del hielo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0 20 038</w:t>
            </w:r>
          </w:p>
        </w:tc>
        <w:tc>
          <w:tcPr>
            <w:tcW w:type="dxa" w:w="1514"/>
          </w:tcPr>
          <w:p>
            <w:pPr>
              <w:spacing w:before="20" w:after="20"/>
            </w:pPr>
            <w:r/>
            <w:r>
              <w:rPr>
                <w:rFonts w:ascii="Verdana" w:hAnsi="Verdana"/>
                <w:b w:val="0"/>
                <w:sz w:val="16"/>
              </w:rPr>
              <w:t>Orientación del borde de hielo</w:t>
            </w:r>
          </w:p>
        </w:tc>
        <w:tc>
          <w:tcPr>
            <w:tcW w:type="dxa" w:w="1514"/>
          </w:tcPr>
          <w:p>
            <w:pPr>
              <w:spacing w:before="20" w:after="20"/>
            </w:pPr>
            <w:r/>
            <w:r>
              <w:rPr>
                <w:rFonts w:ascii="Verdana" w:hAnsi="Verdana"/>
                <w:sz w:val="16"/>
              </w:rPr>
              <w:t>grado verdadero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grado verdadero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135: La anchura de datos de 12 bits del descriptor 0 20 038, es mayor de lo necesario. Basta con 9 bits, como para todas las demás cantidades expresadas en “grados verdaderos”. No obstante, se ha mantenido una anchura de 12 bits para uniformar los datos. Asimismo, una orientación del valor 0 del borde del hielo indicará “Buque en el canal costero o en el canal agrietado”.</w:t>
            </w:r>
          </w:p>
        </w:tc>
      </w:tr>
      <w:tr>
        <w:trPr>
          <w:cantSplit/>
        </w:trPr>
        <w:tc>
          <w:tcPr>
            <w:tcW w:type="dxa" w:w="1514"/>
          </w:tcPr>
          <w:p>
            <w:pPr>
              <w:spacing w:before="20" w:after="20"/>
            </w:pPr>
            <w:r/>
            <w:r>
              <w:rPr>
                <w:rFonts w:ascii="Verdana" w:hAnsi="Verdana"/>
                <w:b w:val="0"/>
                <w:sz w:val="16"/>
              </w:rPr>
              <w:t>0 20 039</w:t>
            </w:r>
          </w:p>
        </w:tc>
        <w:tc>
          <w:tcPr>
            <w:tcW w:type="dxa" w:w="1514"/>
          </w:tcPr>
          <w:p>
            <w:pPr>
              <w:spacing w:before="20" w:after="20"/>
            </w:pPr>
            <w:r/>
            <w:r>
              <w:rPr>
                <w:rFonts w:ascii="Verdana" w:hAnsi="Verdana"/>
                <w:b w:val="0"/>
                <w:sz w:val="16"/>
              </w:rPr>
              <w:t>Distancia del hielo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0 20 040</w:t>
            </w:r>
          </w:p>
        </w:tc>
        <w:tc>
          <w:tcPr>
            <w:tcW w:type="dxa" w:w="1514"/>
          </w:tcPr>
          <w:p>
            <w:pPr>
              <w:spacing w:before="20" w:after="20"/>
            </w:pPr>
            <w:r/>
            <w:r>
              <w:rPr>
                <w:rFonts w:ascii="Verdana" w:hAnsi="Verdana"/>
                <w:b w:val="0"/>
                <w:sz w:val="16"/>
              </w:rPr>
              <w:t>Evolución de la deriva de la nieve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0 20 041</w:t>
            </w:r>
          </w:p>
        </w:tc>
        <w:tc>
          <w:tcPr>
            <w:tcW w:type="dxa" w:w="1514"/>
          </w:tcPr>
          <w:p>
            <w:pPr>
              <w:spacing w:before="20" w:after="20"/>
            </w:pPr>
            <w:r/>
            <w:r>
              <w:rPr>
                <w:rFonts w:ascii="Verdana" w:hAnsi="Verdana"/>
                <w:b w:val="0"/>
                <w:sz w:val="16"/>
              </w:rPr>
              <w:t>Engelamiento del fuselaje de la aeronave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0 20 042</w:t>
            </w:r>
          </w:p>
        </w:tc>
        <w:tc>
          <w:tcPr>
            <w:tcW w:type="dxa" w:w="1514"/>
          </w:tcPr>
          <w:p>
            <w:pPr>
              <w:spacing w:before="20" w:after="20"/>
            </w:pPr>
            <w:r/>
            <w:r>
              <w:rPr>
                <w:rFonts w:ascii="Verdana" w:hAnsi="Verdana"/>
                <w:b w:val="0"/>
                <w:sz w:val="16"/>
              </w:rPr>
              <w:t>Presencia de engelamiento del fuselaje de la aeronave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0 20 043</w:t>
            </w:r>
          </w:p>
        </w:tc>
        <w:tc>
          <w:tcPr>
            <w:tcW w:type="dxa" w:w="1514"/>
          </w:tcPr>
          <w:p>
            <w:pPr>
              <w:spacing w:before="20" w:after="20"/>
            </w:pPr>
            <w:r/>
            <w:r>
              <w:rPr>
                <w:rFonts w:ascii="Verdana" w:hAnsi="Verdana"/>
                <w:b w:val="0"/>
                <w:sz w:val="16"/>
              </w:rPr>
              <w:t>Contenido máximo de agua líquida</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0 20 044</w:t>
            </w:r>
          </w:p>
        </w:tc>
        <w:tc>
          <w:tcPr>
            <w:tcW w:type="dxa" w:w="1514"/>
          </w:tcPr>
          <w:p>
            <w:pPr>
              <w:spacing w:before="20" w:after="20"/>
            </w:pPr>
            <w:r/>
            <w:r>
              <w:rPr>
                <w:rFonts w:ascii="Verdana" w:hAnsi="Verdana"/>
                <w:b w:val="0"/>
                <w:sz w:val="16"/>
              </w:rPr>
              <w:t>Contenido medio de agua líquida</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0 20 045</w:t>
            </w:r>
          </w:p>
        </w:tc>
        <w:tc>
          <w:tcPr>
            <w:tcW w:type="dxa" w:w="1514"/>
          </w:tcPr>
          <w:p>
            <w:pPr>
              <w:spacing w:before="20" w:after="20"/>
            </w:pPr>
            <w:r/>
            <w:r>
              <w:rPr>
                <w:rFonts w:ascii="Verdana" w:hAnsi="Verdana"/>
                <w:b w:val="0"/>
                <w:sz w:val="16"/>
              </w:rPr>
              <w:t>Condiciones de gotitas de agua grandes subfundidas (SLD)</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0 20 048</w:t>
            </w:r>
          </w:p>
        </w:tc>
        <w:tc>
          <w:tcPr>
            <w:tcW w:type="dxa" w:w="1514"/>
          </w:tcPr>
          <w:p>
            <w:pPr>
              <w:spacing w:before="20" w:after="20"/>
            </w:pPr>
            <w:r/>
            <w:r>
              <w:rPr>
                <w:rFonts w:ascii="Verdana" w:hAnsi="Verdana"/>
                <w:b w:val="0"/>
                <w:sz w:val="16"/>
              </w:rPr>
              <w:t>Evolución del elemento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0 20 050</w:t>
            </w:r>
          </w:p>
        </w:tc>
        <w:tc>
          <w:tcPr>
            <w:tcW w:type="dxa" w:w="1514"/>
          </w:tcPr>
          <w:p>
            <w:pPr>
              <w:spacing w:before="20" w:after="20"/>
            </w:pPr>
            <w:r/>
            <w:r>
              <w:rPr>
                <w:rFonts w:ascii="Verdana" w:hAnsi="Verdana"/>
                <w:b w:val="0"/>
                <w:sz w:val="16"/>
              </w:rPr>
              <w:t>Índice de nubes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0 20 051</w:t>
            </w:r>
          </w:p>
        </w:tc>
        <w:tc>
          <w:tcPr>
            <w:tcW w:type="dxa" w:w="1514"/>
          </w:tcPr>
          <w:p>
            <w:pPr>
              <w:spacing w:before="20" w:after="20"/>
            </w:pPr>
            <w:r/>
            <w:r>
              <w:rPr>
                <w:rFonts w:ascii="Verdana" w:hAnsi="Verdana"/>
                <w:b w:val="0"/>
                <w:sz w:val="16"/>
              </w:rPr>
              <w:t>Cantidad de nubes bajas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0 20 052</w:t>
            </w:r>
          </w:p>
        </w:tc>
        <w:tc>
          <w:tcPr>
            <w:tcW w:type="dxa" w:w="1514"/>
          </w:tcPr>
          <w:p>
            <w:pPr>
              <w:spacing w:before="20" w:after="20"/>
            </w:pPr>
            <w:r/>
            <w:r>
              <w:rPr>
                <w:rFonts w:ascii="Verdana" w:hAnsi="Verdana"/>
                <w:b w:val="0"/>
                <w:sz w:val="16"/>
              </w:rPr>
              <w:t>Cantidad de nubes a nivel medio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0 20 053</w:t>
            </w:r>
          </w:p>
        </w:tc>
        <w:tc>
          <w:tcPr>
            <w:tcW w:type="dxa" w:w="1514"/>
          </w:tcPr>
          <w:p>
            <w:pPr>
              <w:spacing w:before="20" w:after="20"/>
            </w:pPr>
            <w:r/>
            <w:r>
              <w:rPr>
                <w:rFonts w:ascii="Verdana" w:hAnsi="Verdana"/>
                <w:b w:val="0"/>
                <w:sz w:val="16"/>
              </w:rPr>
              <w:t>Cantidad de nubes altas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0 20 054</w:t>
            </w:r>
          </w:p>
        </w:tc>
        <w:tc>
          <w:tcPr>
            <w:tcW w:type="dxa" w:w="1514"/>
          </w:tcPr>
          <w:p>
            <w:pPr>
              <w:spacing w:before="20" w:after="20"/>
            </w:pPr>
            <w:r/>
            <w:r>
              <w:rPr>
                <w:rFonts w:ascii="Verdana" w:hAnsi="Verdana"/>
                <w:b w:val="0"/>
                <w:sz w:val="16"/>
              </w:rPr>
              <w:t>Dirección verdadera desde donde se desplaza un fenómeno o nubes o en la cual se observan</w:t>
            </w:r>
          </w:p>
        </w:tc>
        <w:tc>
          <w:tcPr>
            <w:tcW w:type="dxa" w:w="1514"/>
          </w:tcPr>
          <w:p>
            <w:pPr>
              <w:spacing w:before="20" w:after="20"/>
            </w:pPr>
            <w:r/>
            <w:r>
              <w:rPr>
                <w:rFonts w:ascii="Verdana" w:hAnsi="Verdana"/>
                <w:sz w:val="16"/>
              </w:rPr>
              <w:t>grado verdadero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grado verdadero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159: El descriptor de dirección verdadera de un fenómeno o nubes (0 20 054) se utilizará para indicar la dirección verdadera desde la cual se desplaza un fenómeno o nubes o en la cual se observan. Para el descriptor 0 20 054, el valor 0 indicará “estacionario o sin nubes” u “observado en la estación” mientras que el valor 500 indicará “observado en todas las direcciones” y el valor 501 indicará “desconocido o nubes invisibles”. I.2 – BUFR/CREX Tabla B/20 – 8</w:t>
            </w:r>
          </w:p>
        </w:tc>
      </w:tr>
      <w:tr>
        <w:trPr>
          <w:cantSplit/>
        </w:trPr>
        <w:tc>
          <w:tcPr>
            <w:tcW w:type="dxa" w:w="1514"/>
          </w:tcPr>
          <w:p>
            <w:pPr>
              <w:spacing w:before="20" w:after="20"/>
            </w:pPr>
            <w:r/>
            <w:r>
              <w:rPr>
                <w:rFonts w:ascii="Verdana" w:hAnsi="Verdana"/>
                <w:b w:val="0"/>
                <w:sz w:val="16"/>
              </w:rPr>
              <w:t>0 20 055</w:t>
            </w:r>
          </w:p>
        </w:tc>
        <w:tc>
          <w:tcPr>
            <w:tcW w:type="dxa" w:w="1514"/>
          </w:tcPr>
          <w:p>
            <w:pPr>
              <w:spacing w:before="20" w:after="20"/>
            </w:pPr>
            <w:r/>
            <w:r>
              <w:rPr>
                <w:rFonts w:ascii="Verdana" w:hAnsi="Verdana"/>
                <w:b w:val="0"/>
                <w:sz w:val="16"/>
              </w:rPr>
              <w:t>Estado del cielo en los trópicos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0 20 056</w:t>
            </w:r>
          </w:p>
        </w:tc>
        <w:tc>
          <w:tcPr>
            <w:tcW w:type="dxa" w:w="1514"/>
          </w:tcPr>
          <w:p>
            <w:pPr>
              <w:spacing w:before="20" w:after="20"/>
            </w:pPr>
            <w:r/>
            <w:r>
              <w:rPr>
                <w:rFonts w:ascii="Verdana" w:hAnsi="Verdana"/>
                <w:b w:val="0"/>
                <w:sz w:val="16"/>
              </w:rPr>
              <w:t>Fase de las nubes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0 20 058</w:t>
            </w:r>
          </w:p>
        </w:tc>
        <w:tc>
          <w:tcPr>
            <w:tcW w:type="dxa" w:w="1514"/>
          </w:tcPr>
          <w:p>
            <w:pPr>
              <w:spacing w:before="20" w:after="20"/>
            </w:pPr>
            <w:r/>
            <w:r>
              <w:rPr>
                <w:rFonts w:ascii="Verdana" w:hAnsi="Verdana"/>
                <w:b w:val="0"/>
                <w:sz w:val="16"/>
              </w:rPr>
              <w:t>Visibilidad hacia el mar desde una estación costera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0 20 059</w:t>
            </w:r>
          </w:p>
        </w:tc>
        <w:tc>
          <w:tcPr>
            <w:tcW w:type="dxa" w:w="1514"/>
          </w:tcPr>
          <w:p>
            <w:pPr>
              <w:spacing w:before="20" w:after="20"/>
            </w:pPr>
            <w:r/>
            <w:r>
              <w:rPr>
                <w:rFonts w:ascii="Verdana" w:hAnsi="Verdana"/>
                <w:b w:val="0"/>
                <w:sz w:val="16"/>
              </w:rPr>
              <w:t>Visibilidad horizontal mínima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0 20 060</w:t>
            </w:r>
          </w:p>
        </w:tc>
        <w:tc>
          <w:tcPr>
            <w:tcW w:type="dxa" w:w="1514"/>
          </w:tcPr>
          <w:p>
            <w:pPr>
              <w:spacing w:before="20" w:after="20"/>
            </w:pPr>
            <w:r/>
            <w:r>
              <w:rPr>
                <w:rFonts w:ascii="Verdana" w:hAnsi="Verdana"/>
                <w:b w:val="0"/>
                <w:sz w:val="16"/>
              </w:rPr>
              <w:t>Visibilidad horizontal reinante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24: Si se utiliza el campo 0 01 011, este campo resultará faltante, y recíprocamente.</w:t>
            </w:r>
          </w:p>
        </w:tc>
      </w:tr>
      <w:tr>
        <w:trPr>
          <w:cantSplit/>
        </w:trPr>
        <w:tc>
          <w:tcPr>
            <w:tcW w:type="dxa" w:w="1514"/>
          </w:tcPr>
          <w:p>
            <w:pPr>
              <w:spacing w:before="20" w:after="20"/>
            </w:pPr>
            <w:r/>
            <w:r>
              <w:rPr>
                <w:rFonts w:ascii="Verdana" w:hAnsi="Verdana"/>
                <w:b w:val="0"/>
                <w:sz w:val="16"/>
              </w:rPr>
              <w:t>0 20 061</w:t>
            </w:r>
          </w:p>
        </w:tc>
        <w:tc>
          <w:tcPr>
            <w:tcW w:type="dxa" w:w="1514"/>
          </w:tcPr>
          <w:p>
            <w:pPr>
              <w:spacing w:before="20" w:after="20"/>
            </w:pPr>
            <w:r/>
            <w:r>
              <w:rPr>
                <w:rFonts w:ascii="Verdana" w:hAnsi="Verdana"/>
                <w:b w:val="0"/>
                <w:sz w:val="16"/>
              </w:rPr>
              <w:t>Alcance visual en pista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0 20 062</w:t>
            </w:r>
          </w:p>
        </w:tc>
        <w:tc>
          <w:tcPr>
            <w:tcW w:type="dxa" w:w="1514"/>
          </w:tcPr>
          <w:p>
            <w:pPr>
              <w:spacing w:before="20" w:after="20"/>
            </w:pPr>
            <w:r/>
            <w:r>
              <w:rPr>
                <w:rFonts w:ascii="Verdana" w:hAnsi="Verdana"/>
                <w:b w:val="0"/>
                <w:sz w:val="16"/>
              </w:rPr>
              <w:t>Estado del suelo (con o sin nieve)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0 20 063</w:t>
            </w:r>
          </w:p>
        </w:tc>
        <w:tc>
          <w:tcPr>
            <w:tcW w:type="dxa" w:w="1514"/>
          </w:tcPr>
          <w:p>
            <w:pPr>
              <w:spacing w:before="20" w:after="20"/>
            </w:pPr>
            <w:r/>
            <w:r>
              <w:rPr>
                <w:rFonts w:ascii="Verdana" w:hAnsi="Verdana"/>
                <w:b w:val="0"/>
                <w:sz w:val="16"/>
              </w:rPr>
              <w:t>Fenómenos especiales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0 20 065</w:t>
            </w:r>
          </w:p>
        </w:tc>
        <w:tc>
          <w:tcPr>
            <w:tcW w:type="dxa" w:w="1514"/>
          </w:tcPr>
          <w:p>
            <w:pPr>
              <w:spacing w:before="20" w:after="20"/>
            </w:pPr>
            <w:r/>
            <w:r>
              <w:rPr>
                <w:rFonts w:ascii="Verdana" w:hAnsi="Verdana"/>
                <w:b w:val="0"/>
                <w:sz w:val="16"/>
              </w:rPr>
              <w:t>Cubierta de nieve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120: La cubierta de nieve se indicará para cada píxel satelital como porcentaje de cobertura del píxel. No parece factible tratar de utilizar el descriptor existente 0 20 062 con tal fin porque el uso de ese descriptor implica además detalles sobre, por ejemplo, ventiscas de nieve, nieve húmeda comparada con nieve seca, etc., que un satélite no puede evidentemente detectar con exactitud.</w:t>
            </w:r>
          </w:p>
        </w:tc>
      </w:tr>
      <w:tr>
        <w:trPr>
          <w:cantSplit/>
        </w:trPr>
        <w:tc>
          <w:tcPr>
            <w:tcW w:type="dxa" w:w="1514"/>
          </w:tcPr>
          <w:p>
            <w:pPr>
              <w:spacing w:before="20" w:after="20"/>
            </w:pPr>
            <w:r/>
            <w:r>
              <w:rPr>
                <w:rFonts w:ascii="Verdana" w:hAnsi="Verdana"/>
                <w:b w:val="0"/>
                <w:sz w:val="16"/>
              </w:rPr>
              <w:t>0 20 066</w:t>
            </w:r>
          </w:p>
        </w:tc>
        <w:tc>
          <w:tcPr>
            <w:tcW w:type="dxa" w:w="1514"/>
          </w:tcPr>
          <w:p>
            <w:pPr>
              <w:spacing w:before="20" w:after="20"/>
            </w:pPr>
            <w:r/>
            <w:r>
              <w:rPr>
                <w:rFonts w:ascii="Verdana" w:hAnsi="Verdana"/>
                <w:b w:val="0"/>
                <w:sz w:val="16"/>
              </w:rPr>
              <w:t>Diámetro máximo del granizo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0 20 067</w:t>
            </w:r>
          </w:p>
        </w:tc>
        <w:tc>
          <w:tcPr>
            <w:tcW w:type="dxa" w:w="1514"/>
          </w:tcPr>
          <w:p>
            <w:pPr>
              <w:spacing w:before="20" w:after="20"/>
            </w:pPr>
            <w:r/>
            <w:r>
              <w:rPr>
                <w:rFonts w:ascii="Verdana" w:hAnsi="Verdana"/>
                <w:b w:val="0"/>
                <w:sz w:val="16"/>
              </w:rPr>
              <w:t>Diámetro del depósito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0 20 070</w:t>
            </w:r>
          </w:p>
        </w:tc>
        <w:tc>
          <w:tcPr>
            <w:tcW w:type="dxa" w:w="1514"/>
          </w:tcPr>
          <w:p>
            <w:pPr>
              <w:spacing w:before="20" w:after="20"/>
            </w:pPr>
            <w:r/>
            <w:r>
              <w:rPr>
                <w:rFonts w:ascii="Verdana" w:hAnsi="Verdana"/>
                <w:b w:val="0"/>
                <w:sz w:val="16"/>
              </w:rPr>
              <w:t>Número mínimo de parásitos atmosféricos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0 20 071</w:t>
            </w:r>
          </w:p>
        </w:tc>
        <w:tc>
          <w:tcPr>
            <w:tcW w:type="dxa" w:w="1514"/>
          </w:tcPr>
          <w:p>
            <w:pPr>
              <w:spacing w:before="20" w:after="20"/>
            </w:pPr>
            <w:r/>
            <w:r>
              <w:rPr>
                <w:rFonts w:ascii="Verdana" w:hAnsi="Verdana"/>
                <w:b w:val="0"/>
                <w:sz w:val="16"/>
              </w:rPr>
              <w:t>Exactitud de marcación y tasa de parásitos atmosféricos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0 20 081</w:t>
            </w:r>
          </w:p>
        </w:tc>
        <w:tc>
          <w:tcPr>
            <w:tcW w:type="dxa" w:w="1514"/>
          </w:tcPr>
          <w:p>
            <w:pPr>
              <w:spacing w:before="20" w:after="20"/>
            </w:pPr>
            <w:r/>
            <w:r>
              <w:rPr>
                <w:rFonts w:ascii="Verdana" w:hAnsi="Verdana"/>
                <w:b w:val="0"/>
                <w:sz w:val="16"/>
              </w:rPr>
              <w:t>Nubosidad en el segmento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0 20 082</w:t>
            </w:r>
          </w:p>
        </w:tc>
        <w:tc>
          <w:tcPr>
            <w:tcW w:type="dxa" w:w="1514"/>
          </w:tcPr>
          <w:p>
            <w:pPr>
              <w:spacing w:before="20" w:after="20"/>
            </w:pPr>
            <w:r/>
            <w:r>
              <w:rPr>
                <w:rFonts w:ascii="Verdana" w:hAnsi="Verdana"/>
                <w:b w:val="0"/>
                <w:sz w:val="16"/>
              </w:rPr>
              <w:t>Espacio sin nubes del segmento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0 20 083</w:t>
            </w:r>
          </w:p>
        </w:tc>
        <w:tc>
          <w:tcPr>
            <w:tcW w:type="dxa" w:w="1514"/>
          </w:tcPr>
          <w:p>
            <w:pPr>
              <w:spacing w:before="20" w:after="20"/>
            </w:pPr>
            <w:r/>
            <w:r>
              <w:rPr>
                <w:rFonts w:ascii="Verdana" w:hAnsi="Verdana"/>
                <w:b w:val="0"/>
                <w:sz w:val="16"/>
              </w:rPr>
              <w:t>Parte del segmento cubierta por la escena</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0 20 085</w:t>
            </w:r>
          </w:p>
        </w:tc>
        <w:tc>
          <w:tcPr>
            <w:tcW w:type="dxa" w:w="1514"/>
          </w:tcPr>
          <w:p>
            <w:pPr>
              <w:spacing w:before="20" w:after="20"/>
            </w:pPr>
            <w:r/>
            <w:r>
              <w:rPr>
                <w:rFonts w:ascii="Verdana" w:hAnsi="Verdana"/>
                <w:b w:val="0"/>
                <w:sz w:val="16"/>
              </w:rPr>
              <w:t>Estado general de la pista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0 20 086</w:t>
            </w:r>
          </w:p>
        </w:tc>
        <w:tc>
          <w:tcPr>
            <w:tcW w:type="dxa" w:w="1514"/>
          </w:tcPr>
          <w:p>
            <w:pPr>
              <w:spacing w:before="20" w:after="20"/>
            </w:pPr>
            <w:r/>
            <w:r>
              <w:rPr>
                <w:rFonts w:ascii="Verdana" w:hAnsi="Verdana"/>
                <w:b w:val="0"/>
                <w:sz w:val="16"/>
              </w:rPr>
              <w:t>Depósitos en la pista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0 20 087</w:t>
            </w:r>
          </w:p>
        </w:tc>
        <w:tc>
          <w:tcPr>
            <w:tcW w:type="dxa" w:w="1514"/>
          </w:tcPr>
          <w:p>
            <w:pPr>
              <w:spacing w:before="20" w:after="20"/>
            </w:pPr>
            <w:r/>
            <w:r>
              <w:rPr>
                <w:rFonts w:ascii="Verdana" w:hAnsi="Verdana"/>
                <w:b w:val="0"/>
                <w:sz w:val="16"/>
              </w:rPr>
              <w:t>Contaminación en la pista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0 20 088</w:t>
            </w:r>
          </w:p>
        </w:tc>
        <w:tc>
          <w:tcPr>
            <w:tcW w:type="dxa" w:w="1514"/>
          </w:tcPr>
          <w:p>
            <w:pPr>
              <w:spacing w:before="20" w:after="20"/>
            </w:pPr>
            <w:r/>
            <w:r>
              <w:rPr>
                <w:rFonts w:ascii="Verdana" w:hAnsi="Verdana"/>
                <w:b w:val="0"/>
                <w:sz w:val="16"/>
              </w:rPr>
              <w:t>Espesor de los depósitos en la pista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0 20 089</w:t>
            </w:r>
          </w:p>
        </w:tc>
        <w:tc>
          <w:tcPr>
            <w:tcW w:type="dxa" w:w="1514"/>
          </w:tcPr>
          <w:p>
            <w:pPr>
              <w:spacing w:before="20" w:after="20"/>
            </w:pPr>
            <w:r/>
            <w:r>
              <w:rPr>
                <w:rFonts w:ascii="Verdana" w:hAnsi="Verdana"/>
                <w:b w:val="0"/>
                <w:sz w:val="16"/>
              </w:rPr>
              <w:t>Coeficiente de rozamiento en la pista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0 20 090</w:t>
            </w:r>
          </w:p>
        </w:tc>
        <w:tc>
          <w:tcPr>
            <w:tcW w:type="dxa" w:w="1514"/>
          </w:tcPr>
          <w:p>
            <w:pPr>
              <w:spacing w:before="20" w:after="20"/>
            </w:pPr>
            <w:r/>
            <w:r>
              <w:rPr>
                <w:rFonts w:ascii="Verdana" w:hAnsi="Verdana"/>
                <w:b w:val="0"/>
                <w:sz w:val="16"/>
              </w:rPr>
              <w:t>Nubes especiales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0 20 091</w:t>
            </w:r>
          </w:p>
        </w:tc>
        <w:tc>
          <w:tcPr>
            <w:tcW w:type="dxa" w:w="1514"/>
          </w:tcPr>
          <w:p>
            <w:pPr>
              <w:spacing w:before="20" w:after="20"/>
            </w:pPr>
            <w:r/>
            <w:r>
              <w:rPr>
                <w:rFonts w:ascii="Verdana" w:hAnsi="Verdana"/>
                <w:b w:val="0"/>
                <w:sz w:val="16"/>
              </w:rPr>
              <w:t>Visibilidad vertical</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0 20 092</w:t>
            </w:r>
          </w:p>
        </w:tc>
        <w:tc>
          <w:tcPr>
            <w:tcW w:type="dxa" w:w="1514"/>
          </w:tcPr>
          <w:p>
            <w:pPr>
              <w:spacing w:before="20" w:after="20"/>
            </w:pPr>
            <w:r/>
            <w:r>
              <w:rPr>
                <w:rFonts w:ascii="Verdana" w:hAnsi="Verdana"/>
                <w:b w:val="0"/>
                <w:sz w:val="16"/>
              </w:rPr>
              <w:t>Altura de la base de las nubes</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0 20 093</w:t>
            </w:r>
          </w:p>
        </w:tc>
        <w:tc>
          <w:tcPr>
            <w:tcW w:type="dxa" w:w="1514"/>
          </w:tcPr>
          <w:p>
            <w:pPr>
              <w:spacing w:before="20" w:after="20"/>
            </w:pPr>
            <w:r/>
            <w:r>
              <w:rPr>
                <w:rFonts w:ascii="Verdana" w:hAnsi="Verdana"/>
                <w:b w:val="0"/>
                <w:sz w:val="16"/>
              </w:rPr>
              <w:t>Altura de la inversión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0 20 095</w:t>
            </w:r>
          </w:p>
        </w:tc>
        <w:tc>
          <w:tcPr>
            <w:tcW w:type="dxa" w:w="1514"/>
          </w:tcPr>
          <w:p>
            <w:pPr>
              <w:spacing w:before="20" w:after="20"/>
            </w:pPr>
            <w:r/>
            <w:r>
              <w:rPr>
                <w:rFonts w:ascii="Verdana" w:hAnsi="Verdana"/>
                <w:b w:val="0"/>
                <w:sz w:val="16"/>
              </w:rPr>
              <w:t>Probabilidad de hielo</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0 20 096</w:t>
            </w:r>
          </w:p>
        </w:tc>
        <w:tc>
          <w:tcPr>
            <w:tcW w:type="dxa" w:w="1514"/>
          </w:tcPr>
          <w:p>
            <w:pPr>
              <w:spacing w:before="20" w:after="20"/>
            </w:pPr>
            <w:r/>
            <w:r>
              <w:rPr>
                <w:rFonts w:ascii="Verdana" w:hAnsi="Verdana"/>
                <w:b w:val="0"/>
                <w:sz w:val="16"/>
              </w:rPr>
              <w:t>Edad de hielo (parámetro "A")</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0 20 101</w:t>
            </w:r>
          </w:p>
        </w:tc>
        <w:tc>
          <w:tcPr>
            <w:tcW w:type="dxa" w:w="1514"/>
          </w:tcPr>
          <w:p>
            <w:pPr>
              <w:spacing w:before="20" w:after="20"/>
            </w:pPr>
            <w:r/>
            <w:r>
              <w:rPr>
                <w:rFonts w:ascii="Verdana" w:hAnsi="Verdana"/>
                <w:b w:val="0"/>
                <w:sz w:val="16"/>
              </w:rPr>
              <w:t>Nombre de la langosta (acrídido)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0 20 102</w:t>
            </w:r>
          </w:p>
        </w:tc>
        <w:tc>
          <w:tcPr>
            <w:tcW w:type="dxa" w:w="1514"/>
          </w:tcPr>
          <w:p>
            <w:pPr>
              <w:spacing w:before="20" w:after="20"/>
            </w:pPr>
            <w:r/>
            <w:r>
              <w:rPr>
                <w:rFonts w:ascii="Verdana" w:hAnsi="Verdana"/>
                <w:b w:val="0"/>
                <w:sz w:val="16"/>
              </w:rPr>
              <w:t>Color de la langosta (adulta)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0 20 103</w:t>
            </w:r>
          </w:p>
        </w:tc>
        <w:tc>
          <w:tcPr>
            <w:tcW w:type="dxa" w:w="1514"/>
          </w:tcPr>
          <w:p>
            <w:pPr>
              <w:spacing w:before="20" w:after="20"/>
            </w:pPr>
            <w:r/>
            <w:r>
              <w:rPr>
                <w:rFonts w:ascii="Verdana" w:hAnsi="Verdana"/>
                <w:b w:val="0"/>
                <w:sz w:val="16"/>
              </w:rPr>
              <w:t>Fase de desarrollo de las langostas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0 20 104</w:t>
            </w:r>
          </w:p>
        </w:tc>
        <w:tc>
          <w:tcPr>
            <w:tcW w:type="dxa" w:w="1514"/>
          </w:tcPr>
          <w:p>
            <w:pPr>
              <w:spacing w:before="20" w:after="20"/>
            </w:pPr>
            <w:r/>
            <w:r>
              <w:rPr>
                <w:rFonts w:ascii="Verdana" w:hAnsi="Verdana"/>
                <w:b w:val="0"/>
                <w:sz w:val="16"/>
              </w:rPr>
              <w:t>Estado de organización del enjambre o banda de langostas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0 20 105</w:t>
            </w:r>
          </w:p>
        </w:tc>
        <w:tc>
          <w:tcPr>
            <w:tcW w:type="dxa" w:w="1514"/>
          </w:tcPr>
          <w:p>
            <w:pPr>
              <w:spacing w:before="20" w:after="20"/>
            </w:pPr>
            <w:r/>
            <w:r>
              <w:rPr>
                <w:rFonts w:ascii="Verdana" w:hAnsi="Verdana"/>
                <w:b w:val="0"/>
                <w:sz w:val="16"/>
              </w:rPr>
              <w:t>Tamaño del enjambre o banda de langostas y duración del paso del enjambre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0 20 106</w:t>
            </w:r>
          </w:p>
        </w:tc>
        <w:tc>
          <w:tcPr>
            <w:tcW w:type="dxa" w:w="1514"/>
          </w:tcPr>
          <w:p>
            <w:pPr>
              <w:spacing w:before="20" w:after="20"/>
            </w:pPr>
            <w:r/>
            <w:r>
              <w:rPr>
                <w:rFonts w:ascii="Verdana" w:hAnsi="Verdana"/>
                <w:b w:val="0"/>
                <w:sz w:val="16"/>
              </w:rPr>
              <w:t>Densidad de la población de langostas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0 20 107</w:t>
            </w:r>
          </w:p>
        </w:tc>
        <w:tc>
          <w:tcPr>
            <w:tcW w:type="dxa" w:w="1514"/>
          </w:tcPr>
          <w:p>
            <w:pPr>
              <w:spacing w:before="20" w:after="20"/>
            </w:pPr>
            <w:r/>
            <w:r>
              <w:rPr>
                <w:rFonts w:ascii="Verdana" w:hAnsi="Verdana"/>
                <w:b w:val="0"/>
                <w:sz w:val="16"/>
              </w:rPr>
              <w:t>Dirección de los movimientos del enjambre de langostas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0 20 108</w:t>
            </w:r>
          </w:p>
        </w:tc>
        <w:tc>
          <w:tcPr>
            <w:tcW w:type="dxa" w:w="1514"/>
          </w:tcPr>
          <w:p>
            <w:pPr>
              <w:spacing w:before="20" w:after="20"/>
            </w:pPr>
            <w:r/>
            <w:r>
              <w:rPr>
                <w:rFonts w:ascii="Verdana" w:hAnsi="Verdana"/>
                <w:b w:val="0"/>
                <w:sz w:val="16"/>
              </w:rPr>
              <w:t>Extensión de la vegetación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0 20 111</w:t>
            </w:r>
          </w:p>
        </w:tc>
        <w:tc>
          <w:tcPr>
            <w:tcW w:type="dxa" w:w="1514"/>
          </w:tcPr>
          <w:p>
            <w:pPr>
              <w:spacing w:before="20" w:after="20"/>
            </w:pPr>
            <w:r/>
            <w:r>
              <w:rPr>
                <w:rFonts w:ascii="Verdana" w:hAnsi="Verdana"/>
                <w:b w:val="0"/>
                <w:sz w:val="16"/>
              </w:rPr>
              <w:t>Componente principal de la elipse de error del eje x</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89: Si x=y=z se trata de un error esférico, y el ángulo (véase 0 20 115) será cero. | Note 90: Si x=y se trata de un error radial, y el ángulo (véase 0 20 114) será cero.</w:t>
            </w:r>
          </w:p>
        </w:tc>
      </w:tr>
      <w:tr>
        <w:trPr>
          <w:cantSplit/>
        </w:trPr>
        <w:tc>
          <w:tcPr>
            <w:tcW w:type="dxa" w:w="1514"/>
          </w:tcPr>
          <w:p>
            <w:pPr>
              <w:spacing w:before="20" w:after="20"/>
            </w:pPr>
            <w:r/>
            <w:r>
              <w:rPr>
                <w:rFonts w:ascii="Verdana" w:hAnsi="Verdana"/>
                <w:b w:val="0"/>
                <w:sz w:val="16"/>
              </w:rPr>
              <w:t>0 20 112</w:t>
            </w:r>
          </w:p>
        </w:tc>
        <w:tc>
          <w:tcPr>
            <w:tcW w:type="dxa" w:w="1514"/>
          </w:tcPr>
          <w:p>
            <w:pPr>
              <w:spacing w:before="20" w:after="20"/>
            </w:pPr>
            <w:r/>
            <w:r>
              <w:rPr>
                <w:rFonts w:ascii="Verdana" w:hAnsi="Verdana"/>
                <w:b w:val="0"/>
                <w:sz w:val="16"/>
              </w:rPr>
              <w:t>Componente menor de la elipse de error del eje 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89: Si x=y=z se trata de un error esférico, y el ángulo (véase 0 20 115) será cero. | Note 90: Si x=y se trata de un error radial, y el ángulo (véase 0 20 114) será cero.</w:t>
            </w:r>
          </w:p>
        </w:tc>
      </w:tr>
      <w:tr>
        <w:trPr>
          <w:cantSplit/>
        </w:trPr>
        <w:tc>
          <w:tcPr>
            <w:tcW w:type="dxa" w:w="1514"/>
          </w:tcPr>
          <w:p>
            <w:pPr>
              <w:spacing w:before="20" w:after="20"/>
            </w:pPr>
            <w:r/>
            <w:r>
              <w:rPr>
                <w:rFonts w:ascii="Verdana" w:hAnsi="Verdana"/>
                <w:b w:val="0"/>
                <w:sz w:val="16"/>
              </w:rPr>
              <w:t>0 20 113</w:t>
            </w:r>
          </w:p>
        </w:tc>
        <w:tc>
          <w:tcPr>
            <w:tcW w:type="dxa" w:w="1514"/>
          </w:tcPr>
          <w:p>
            <w:pPr>
              <w:spacing w:before="20" w:after="20"/>
            </w:pPr>
            <w:r/>
            <w:r>
              <w:rPr>
                <w:rFonts w:ascii="Verdana" w:hAnsi="Verdana"/>
                <w:b w:val="0"/>
                <w:sz w:val="16"/>
              </w:rPr>
              <w:t>Componente de la elipse de error del eje z</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89: Si x=y=z se trata de un error esférico, y el ángulo (véase 0 20 115) será cero.</w:t>
            </w:r>
          </w:p>
        </w:tc>
      </w:tr>
      <w:tr>
        <w:trPr>
          <w:cantSplit/>
        </w:trPr>
        <w:tc>
          <w:tcPr>
            <w:tcW w:type="dxa" w:w="1514"/>
          </w:tcPr>
          <w:p>
            <w:pPr>
              <w:spacing w:before="20" w:after="20"/>
            </w:pPr>
            <w:r/>
            <w:r>
              <w:rPr>
                <w:rFonts w:ascii="Verdana" w:hAnsi="Verdana"/>
                <w:b w:val="0"/>
                <w:sz w:val="16"/>
              </w:rPr>
              <w:t>0 20 114</w:t>
            </w:r>
          </w:p>
        </w:tc>
        <w:tc>
          <w:tcPr>
            <w:tcW w:type="dxa" w:w="1514"/>
          </w:tcPr>
          <w:p>
            <w:pPr>
              <w:spacing w:before="20" w:after="20"/>
            </w:pPr>
            <w:r/>
            <w:r>
              <w:rPr>
                <w:rFonts w:ascii="Verdana" w:hAnsi="Verdana"/>
                <w:b w:val="0"/>
                <w:sz w:val="16"/>
              </w:rPr>
              <w:t>Ángulo del eje x en la elipse de error</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-18000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31: Entero asignado por el operador e incrementado para cada nueva transecta (es decir, todas las gotas tendrán el mismo número de transecta mientras el buque se desplaza de un extremo de la línea al otro; tan pronto como el buque llega al puerto y retorna al punto de partida se añade una nueva transecta y, seguidamente, se incrementa el número de transecta). El valor inicial y los valores subsiguientes de los números de transecta no son importantes, siempre y cuando cada nueva transecta de un buque a lo largo de una línea tenga un número de transecta superior a los números de transecta anteriores para esa misma línea y buque. Si un único crucero siguiera más de una línea seguida del Programa de buques de observación ocasional, se incrementará el número de transecta cada vez que el crucero cambie de línea.</w:t>
            </w:r>
          </w:p>
        </w:tc>
      </w:tr>
      <w:tr>
        <w:trPr>
          <w:cantSplit/>
        </w:trPr>
        <w:tc>
          <w:tcPr>
            <w:tcW w:type="dxa" w:w="1514"/>
          </w:tcPr>
          <w:p>
            <w:pPr>
              <w:spacing w:before="20" w:after="20"/>
            </w:pPr>
            <w:r/>
            <w:r>
              <w:rPr>
                <w:rFonts w:ascii="Verdana" w:hAnsi="Verdana"/>
                <w:b w:val="0"/>
                <w:sz w:val="16"/>
              </w:rPr>
              <w:t>0 20 115</w:t>
            </w:r>
          </w:p>
        </w:tc>
        <w:tc>
          <w:tcPr>
            <w:tcW w:type="dxa" w:w="1514"/>
          </w:tcPr>
          <w:p>
            <w:pPr>
              <w:spacing w:before="20" w:after="20"/>
            </w:pPr>
            <w:r/>
            <w:r>
              <w:rPr>
                <w:rFonts w:ascii="Verdana" w:hAnsi="Verdana"/>
                <w:b w:val="0"/>
                <w:sz w:val="16"/>
              </w:rPr>
              <w:t>Ángulo del eje z en la elipse de error</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-18000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30: En esta secuencia para la representación de los datos de descenso de radiosondas, no es obligatorio indicar los niveles estándares mediante la significación del sondeo vertical ampliado (0 08 042).</w:t>
            </w:r>
          </w:p>
        </w:tc>
      </w:tr>
      <w:tr>
        <w:trPr>
          <w:cantSplit/>
        </w:trPr>
        <w:tc>
          <w:tcPr>
            <w:tcW w:type="dxa" w:w="1514"/>
          </w:tcPr>
          <w:p>
            <w:pPr>
              <w:spacing w:before="20" w:after="20"/>
            </w:pPr>
            <w:r/>
            <w:r>
              <w:rPr>
                <w:rFonts w:ascii="Verdana" w:hAnsi="Verdana"/>
                <w:b w:val="0"/>
                <w:sz w:val="16"/>
              </w:rPr>
              <w:t>0 20 116</w:t>
            </w:r>
          </w:p>
        </w:tc>
        <w:tc>
          <w:tcPr>
            <w:tcW w:type="dxa" w:w="1514"/>
          </w:tcPr>
          <w:p>
            <w:pPr>
              <w:spacing w:before="20" w:after="20"/>
            </w:pPr>
            <w:r/>
            <w:r>
              <w:rPr>
                <w:rFonts w:ascii="Verdana" w:hAnsi="Verdana"/>
                <w:b w:val="0"/>
                <w:sz w:val="16"/>
              </w:rPr>
              <w:t>Altura de la base de las nubes a la que se emite la descarga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0 20 117</w:t>
            </w:r>
          </w:p>
        </w:tc>
        <w:tc>
          <w:tcPr>
            <w:tcW w:type="dxa" w:w="1514"/>
          </w:tcPr>
          <w:p>
            <w:pPr>
              <w:spacing w:before="20" w:after="20"/>
            </w:pPr>
            <w:r/>
            <w:r>
              <w:rPr>
                <w:rFonts w:ascii="Verdana" w:hAnsi="Verdana"/>
                <w:b w:val="0"/>
                <w:sz w:val="16"/>
              </w:rPr>
              <w:t>Amplitud de la descarga eléctrica</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-32000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0 20 118</w:t>
            </w:r>
          </w:p>
        </w:tc>
        <w:tc>
          <w:tcPr>
            <w:tcW w:type="dxa" w:w="1514"/>
          </w:tcPr>
          <w:p>
            <w:pPr>
              <w:spacing w:before="20" w:after="20"/>
            </w:pPr>
            <w:r/>
            <w:r>
              <w:rPr>
                <w:rFonts w:ascii="Verdana" w:hAnsi="Verdana"/>
                <w:b w:val="0"/>
                <w:sz w:val="16"/>
              </w:rPr>
              <w:t>Error de detección de la descarga eléctrica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0 20 119</w:t>
            </w:r>
          </w:p>
        </w:tc>
        <w:tc>
          <w:tcPr>
            <w:tcW w:type="dxa" w:w="1514"/>
          </w:tcPr>
          <w:p>
            <w:pPr>
              <w:spacing w:before="20" w:after="20"/>
            </w:pPr>
            <w:r/>
            <w:r>
              <w:rPr>
                <w:rFonts w:ascii="Verdana" w:hAnsi="Verdana"/>
                <w:b w:val="0"/>
                <w:sz w:val="16"/>
              </w:rPr>
              <w:t>Polaridad de la descarga eléctrica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0 20 121</w:t>
            </w:r>
          </w:p>
        </w:tc>
        <w:tc>
          <w:tcPr>
            <w:tcW w:type="dxa" w:w="1514"/>
          </w:tcPr>
          <w:p>
            <w:pPr>
              <w:spacing w:before="20" w:after="20"/>
            </w:pPr>
            <w:r/>
            <w:r>
              <w:rPr>
                <w:rFonts w:ascii="Verdana" w:hAnsi="Verdana"/>
                <w:b w:val="0"/>
                <w:sz w:val="16"/>
              </w:rPr>
              <w:t>Valor de umbral para decisión de polaridad</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9: La “Fecha/hora de lanzamiento” indica la fecha/hora de inicio de las mediciones de descenso.</w:t>
            </w:r>
          </w:p>
        </w:tc>
      </w:tr>
      <w:tr>
        <w:trPr>
          <w:cantSplit/>
        </w:trPr>
        <w:tc>
          <w:tcPr>
            <w:tcW w:type="dxa" w:w="1514"/>
          </w:tcPr>
          <w:p>
            <w:pPr>
              <w:spacing w:before="20" w:after="20"/>
            </w:pPr>
            <w:r/>
            <w:r>
              <w:rPr>
                <w:rFonts w:ascii="Verdana" w:hAnsi="Verdana"/>
                <w:b w:val="0"/>
                <w:sz w:val="16"/>
              </w:rPr>
              <w:t>0 20 122</w:t>
            </w:r>
          </w:p>
        </w:tc>
        <w:tc>
          <w:tcPr>
            <w:tcW w:type="dxa" w:w="1514"/>
          </w:tcPr>
          <w:p>
            <w:pPr>
              <w:spacing w:before="20" w:after="20"/>
            </w:pPr>
            <w:r/>
            <w:r>
              <w:rPr>
                <w:rFonts w:ascii="Verdana" w:hAnsi="Verdana"/>
                <w:b w:val="0"/>
                <w:sz w:val="16"/>
              </w:rPr>
              <w:t>Valor de umbral para decisión de polaridad</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 El decibelio (dB) es una unidad logarítmica que mide la potencia relativa o los valores relativos de dos densidades de flujo, especialmente de la intensidad del sonido y de las densidades de la potencia de la radio y del radar. En la meteorología por radar, la escala logarítmica, expresada en dBZ, se usa para medir el factor de reflectividad del radar (obtenido del Glosario de Meteorología de la Sociedad Meteorológica Americana).</w:t>
            </w:r>
          </w:p>
        </w:tc>
      </w:tr>
      <w:tr>
        <w:trPr>
          <w:cantSplit/>
        </w:trPr>
        <w:tc>
          <w:tcPr>
            <w:tcW w:type="dxa" w:w="1514"/>
          </w:tcPr>
          <w:p>
            <w:pPr>
              <w:spacing w:before="20" w:after="20"/>
            </w:pPr>
            <w:r/>
            <w:r>
              <w:rPr>
                <w:rFonts w:ascii="Verdana" w:hAnsi="Verdana"/>
                <w:b w:val="0"/>
                <w:sz w:val="16"/>
              </w:rPr>
              <w:t>0 20 123</w:t>
            </w:r>
          </w:p>
        </w:tc>
        <w:tc>
          <w:tcPr>
            <w:tcW w:type="dxa" w:w="1514"/>
          </w:tcPr>
          <w:p>
            <w:pPr>
              <w:spacing w:before="20" w:after="20"/>
            </w:pPr>
            <w:r/>
            <w:r>
              <w:rPr>
                <w:rFonts w:ascii="Verdana" w:hAnsi="Verdana"/>
                <w:b w:val="0"/>
                <w:sz w:val="16"/>
              </w:rPr>
              <w:t>Umbral mínimo para detección</w:t>
            </w:r>
          </w:p>
        </w:tc>
        <w:tc>
          <w:tcPr>
            <w:tcW w:type="dxa" w:w="1514"/>
          </w:tcPr>
          <w:p>
            <w:pPr>
              <w:spacing w:before="20" w:after="20"/>
            </w:pPr>
            <w:r/>
            <w:r>
              <w:rPr>
                <w:rFonts w:ascii="Verdana" w:hAnsi="Verdana"/>
                <w:sz w:val="16"/>
              </w:rPr>
              <w:t>Vm-1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Vm-1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102: Nivel de la señal mínimamente aceptable para procesar, por ejemplo, 0,005 V o 5 mV, o normalmente justo por encima del umbral mínimo de ruido del sensor.</w:t>
            </w:r>
          </w:p>
        </w:tc>
      </w:tr>
      <w:tr>
        <w:trPr>
          <w:cantSplit/>
        </w:trPr>
        <w:tc>
          <w:tcPr>
            <w:tcW w:type="dxa" w:w="1514"/>
          </w:tcPr>
          <w:p>
            <w:pPr>
              <w:spacing w:before="20" w:after="20"/>
            </w:pPr>
            <w:r/>
            <w:r>
              <w:rPr>
                <w:rFonts w:ascii="Verdana" w:hAnsi="Verdana"/>
                <w:b w:val="0"/>
                <w:sz w:val="16"/>
              </w:rPr>
              <w:t>0 20 124</w:t>
            </w:r>
          </w:p>
        </w:tc>
        <w:tc>
          <w:tcPr>
            <w:tcW w:type="dxa" w:w="1514"/>
          </w:tcPr>
          <w:p>
            <w:pPr>
              <w:spacing w:before="20" w:after="20"/>
            </w:pPr>
            <w:r/>
            <w:r>
              <w:rPr>
                <w:rFonts w:ascii="Verdana" w:hAnsi="Verdana"/>
                <w:b w:val="0"/>
                <w:sz w:val="16"/>
              </w:rPr>
              <w:t>Rayo o relámpago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0 20 126</w:t>
            </w:r>
          </w:p>
        </w:tc>
        <w:tc>
          <w:tcPr>
            <w:tcW w:type="dxa" w:w="1514"/>
          </w:tcPr>
          <w:p>
            <w:pPr>
              <w:spacing w:before="20" w:after="20"/>
            </w:pPr>
            <w:r/>
            <w:r>
              <w:rPr>
                <w:rFonts w:ascii="Verdana" w:hAnsi="Verdana"/>
                <w:b w:val="0"/>
                <w:sz w:val="16"/>
              </w:rPr>
              <w:t>Tasa de descargas de rayo</w:t>
            </w:r>
          </w:p>
        </w:tc>
        <w:tc>
          <w:tcPr>
            <w:tcW w:type="dxa" w:w="1514"/>
          </w:tcPr>
          <w:p>
            <w:pPr>
              <w:spacing w:before="20" w:after="20"/>
            </w:pPr>
            <w:r/>
            <w:r>
              <w:rPr>
                <w:rFonts w:ascii="Verdana" w:hAnsi="Verdana"/>
                <w:sz w:val="16"/>
              </w:rPr>
              <w:t>h</w:t>
            </w:r>
            <w:r>
              <w:rPr>
                <w:rFonts w:ascii="Verdana" w:hAnsi="Verdana"/>
                <w:sz w:val="16"/>
                <w:vertAlign w:val="superscript"/>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h</w:t>
            </w:r>
            <w:r>
              <w:rPr>
                <w:rFonts w:ascii="Verdana" w:hAnsi="Verdana"/>
                <w:sz w:val="16"/>
                <w:vertAlign w:val="superscript"/>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0 20 127</w:t>
            </w:r>
          </w:p>
        </w:tc>
        <w:tc>
          <w:tcPr>
            <w:tcW w:type="dxa" w:w="1514"/>
          </w:tcPr>
          <w:p>
            <w:pPr>
              <w:spacing w:before="20" w:after="20"/>
            </w:pPr>
            <w:r/>
            <w:r>
              <w:rPr>
                <w:rFonts w:ascii="Verdana" w:hAnsi="Verdana"/>
                <w:b w:val="0"/>
                <w:sz w:val="16"/>
              </w:rPr>
              <w:t>Rayos - distancia desde la estación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0 20 128</w:t>
            </w:r>
          </w:p>
        </w:tc>
        <w:tc>
          <w:tcPr>
            <w:tcW w:type="dxa" w:w="1514"/>
          </w:tcPr>
          <w:p>
            <w:pPr>
              <w:spacing w:before="20" w:after="20"/>
            </w:pPr>
            <w:r/>
            <w:r>
              <w:rPr>
                <w:rFonts w:ascii="Verdana" w:hAnsi="Verdana"/>
                <w:b w:val="0"/>
                <w:sz w:val="16"/>
              </w:rPr>
              <w:t>Rayos - dirección desde la estación</w:t>
            </w:r>
          </w:p>
        </w:tc>
        <w:tc>
          <w:tcPr>
            <w:tcW w:type="dxa" w:w="1514"/>
          </w:tcPr>
          <w:p>
            <w:pPr>
              <w:spacing w:before="20" w:after="20"/>
            </w:pPr>
            <w:r/>
            <w:r>
              <w:rPr>
                <w:rFonts w:ascii="Verdana" w:hAnsi="Verdana"/>
                <w:sz w:val="16"/>
              </w:rPr>
              <w:t>grado verdadero</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grado verdadero</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0 20 129</w:t>
            </w:r>
          </w:p>
        </w:tc>
        <w:tc>
          <w:tcPr>
            <w:tcW w:type="dxa" w:w="1514"/>
          </w:tcPr>
          <w:p>
            <w:pPr>
              <w:spacing w:before="20" w:after="20"/>
            </w:pPr>
            <w:r/>
            <w:r>
              <w:rPr>
                <w:rFonts w:ascii="Verdana" w:hAnsi="Verdana"/>
                <w:b w:val="0"/>
                <w:sz w:val="16"/>
              </w:rPr>
              <w:t>Densidad de rayos (descarga, relámpago o fenómeno)</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0 20 130</w:t>
            </w:r>
          </w:p>
        </w:tc>
        <w:tc>
          <w:tcPr>
            <w:tcW w:type="dxa" w:w="1514"/>
          </w:tcPr>
          <w:p>
            <w:pPr>
              <w:spacing w:before="20" w:after="20"/>
            </w:pPr>
            <w:r/>
            <w:r>
              <w:rPr>
                <w:rFonts w:ascii="Verdana" w:hAnsi="Verdana"/>
                <w:b w:val="0"/>
                <w:sz w:val="16"/>
              </w:rPr>
              <w:t>Concentración de hidrometeoros de nube</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37: Faltante para los espectros no direccionales.</w:t>
            </w:r>
          </w:p>
        </w:tc>
      </w:tr>
      <w:tr>
        <w:trPr>
          <w:cantSplit/>
        </w:trPr>
        <w:tc>
          <w:tcPr>
            <w:tcW w:type="dxa" w:w="1514"/>
          </w:tcPr>
          <w:p>
            <w:pPr>
              <w:spacing w:before="20" w:after="20"/>
            </w:pPr>
            <w:r/>
            <w:r>
              <w:rPr>
                <w:rFonts w:ascii="Verdana" w:hAnsi="Verdana"/>
                <w:b w:val="0"/>
                <w:sz w:val="16"/>
              </w:rPr>
              <w:t>0 20 131</w:t>
            </w:r>
          </w:p>
        </w:tc>
        <w:tc>
          <w:tcPr>
            <w:tcW w:type="dxa" w:w="1514"/>
          </w:tcPr>
          <w:p>
            <w:pPr>
              <w:spacing w:before="20" w:after="20"/>
            </w:pPr>
            <w:r/>
            <w:r>
              <w:rPr>
                <w:rFonts w:ascii="Verdana" w:hAnsi="Verdana"/>
                <w:b w:val="0"/>
                <w:sz w:val="16"/>
              </w:rPr>
              <w:t>Radio efectivo de los hidrometeoros de nube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0 20 132</w:t>
            </w:r>
          </w:p>
        </w:tc>
        <w:tc>
          <w:tcPr>
            <w:tcW w:type="dxa" w:w="1514"/>
          </w:tcPr>
          <w:p>
            <w:pPr>
              <w:spacing w:before="20" w:after="20"/>
            </w:pPr>
            <w:r/>
            <w:r>
              <w:rPr>
                <w:rFonts w:ascii="Verdana" w:hAnsi="Verdana"/>
                <w:b w:val="0"/>
                <w:sz w:val="16"/>
              </w:rPr>
              <w:t>Contenido de agua líquida en nube</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0 20 133</w:t>
            </w:r>
          </w:p>
        </w:tc>
        <w:tc>
          <w:tcPr>
            <w:tcW w:type="dxa" w:w="1514"/>
          </w:tcPr>
          <w:p>
            <w:pPr>
              <w:spacing w:before="20" w:after="20"/>
            </w:pPr>
            <w:r/>
            <w:r>
              <w:rPr>
                <w:rFonts w:ascii="Verdana" w:hAnsi="Verdana"/>
                <w:b w:val="0"/>
                <w:sz w:val="16"/>
              </w:rPr>
              <w:t>Radio del hidrometeoro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0 20 135</w:t>
            </w:r>
          </w:p>
        </w:tc>
        <w:tc>
          <w:tcPr>
            <w:tcW w:type="dxa" w:w="1514"/>
          </w:tcPr>
          <w:p>
            <w:pPr>
              <w:spacing w:before="20" w:after="20"/>
            </w:pPr>
            <w:r/>
            <w:r>
              <w:rPr>
                <w:rFonts w:ascii="Verdana" w:hAnsi="Verdana"/>
                <w:b w:val="0"/>
                <w:sz w:val="16"/>
              </w:rPr>
              <w:t>Masa de hielo (en cilindro)</w:t>
            </w:r>
          </w:p>
        </w:tc>
        <w:tc>
          <w:tcPr>
            <w:tcW w:type="dxa" w:w="1514"/>
          </w:tcPr>
          <w:p>
            <w:pPr>
              <w:spacing w:before="20" w:after="20"/>
            </w:pPr>
            <w:r/>
            <w:r>
              <w:rPr>
                <w:rFonts w:ascii="Verdana" w:hAnsi="Verdana"/>
                <w:sz w:val="16"/>
              </w:rPr>
              <w:t>kg m</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0 20 136</w:t>
            </w:r>
          </w:p>
        </w:tc>
        <w:tc>
          <w:tcPr>
            <w:tcW w:type="dxa" w:w="1514"/>
          </w:tcPr>
          <w:p>
            <w:pPr>
              <w:spacing w:before="20" w:after="20"/>
            </w:pPr>
            <w:r/>
            <w:r>
              <w:rPr>
                <w:rFonts w:ascii="Verdana" w:hAnsi="Verdana"/>
                <w:b w:val="0"/>
                <w:sz w:val="16"/>
              </w:rPr>
              <w:t>Tipo de nubes suplementario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0 20 137</w:t>
            </w:r>
          </w:p>
        </w:tc>
        <w:tc>
          <w:tcPr>
            <w:tcW w:type="dxa" w:w="1514"/>
          </w:tcPr>
          <w:p>
            <w:pPr>
              <w:spacing w:before="20" w:after="20"/>
            </w:pPr>
            <w:r/>
            <w:r>
              <w:rPr>
                <w:rFonts w:ascii="Verdana" w:hAnsi="Verdana"/>
                <w:b w:val="0"/>
                <w:sz w:val="16"/>
              </w:rPr>
              <w:t>Evolución de las nubes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0 20 138</w:t>
            </w:r>
          </w:p>
        </w:tc>
        <w:tc>
          <w:tcPr>
            <w:tcW w:type="dxa" w:w="1514"/>
          </w:tcPr>
          <w:p>
            <w:pPr>
              <w:spacing w:before="20" w:after="20"/>
            </w:pPr>
            <w:r/>
            <w:r>
              <w:rPr>
                <w:rFonts w:ascii="Verdana" w:hAnsi="Verdana"/>
                <w:b w:val="0"/>
                <w:sz w:val="16"/>
              </w:rPr>
              <w:t>Condición de la superficie de la carretera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