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23: Dispersión y transporte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Artículos aplicables a la notificación rápida de un accidente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Actividad o instalación relacionada con el incidente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emisión de sustancias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Contramedidas tomadas cerca de la frontera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Causa del incidente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Situación luego del incidente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Características de la emisión de sustancias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de sustancias: estado actual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de sustancias: estado previsto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Riesgo de una importante intoxicación de origen químico que afecte a la salud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Caudal de la principal masa de agua receptora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Evolución de la emisión de sustancias con el paso del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real de la emisión de sustancias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efectiva de la emisión de sustancias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del punto de emisión de sustancias al sitio del incidente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transporte principal en la atmósfera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transporte principal en 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transporte principal en el agua subterránea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transporte principal en la atmósfera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transporte principal en 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transporte principal en el agua subterránea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Riesgo de que la columna radiactiva encuentre precipitaciones en el país en que ha ocurrido el incidente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Posibilidad de que la columna radiactiva sea afectada por un cambio en la dirección y/o en la velocidad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Caudal – río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Caudal – pozo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