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25: Información sobre el proceso de datos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NOMBRE DEL ELEMENTO</w:t>
            </w:r>
          </w:p>
        </w:tc>
        <w:tc>
          <w:tcPr>
            <w:tcW w:type="dxa" w:w="1514"/>
            <w:shd w:val="clear" w:color="auto" w:fill="D9D9D9"/>
          </w:tcPr>
          <w:p>
            <w:pPr>
              <w:spacing w:before="20" w:after="20"/>
            </w:pPr>
            <w:r/>
            <w:r>
              <w:rPr>
                <w:rFonts w:ascii="Verdana" w:hAnsi="Verdana"/>
                <w:b w:val="0"/>
                <w:sz w:val="16"/>
              </w:rPr>
              <w:t>UNIDAD BUFR</w:t>
            </w:r>
          </w:p>
        </w:tc>
        <w:tc>
          <w:tcPr>
            <w:tcW w:type="dxa" w:w="1514"/>
            <w:shd w:val="clear" w:color="auto" w:fill="D9D9D9"/>
          </w:tcPr>
          <w:p>
            <w:pPr>
              <w:spacing w:before="20" w:after="20"/>
            </w:pPr>
            <w:r/>
            <w:r>
              <w:rPr>
                <w:rFonts w:ascii="Verdana" w:hAnsi="Verdana"/>
                <w:b w:val="0"/>
                <w:sz w:val="16"/>
              </w:rPr>
              <w:t>ESCALA</w:t>
            </w:r>
          </w:p>
        </w:tc>
        <w:tc>
          <w:tcPr>
            <w:tcW w:type="dxa" w:w="1514"/>
            <w:shd w:val="clear" w:color="auto" w:fill="D9D9D9"/>
          </w:tcPr>
          <w:p>
            <w:pPr>
              <w:spacing w:before="20" w:after="20"/>
            </w:pPr>
            <w:r/>
            <w:r>
              <w:rPr>
                <w:rFonts w:ascii="Verdana" w:hAnsi="Verdana"/>
                <w:b w:val="0"/>
                <w:sz w:val="16"/>
              </w:rPr>
              <w:t>VAL. REF.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UNIDAD CREX</w:t>
            </w:r>
          </w:p>
        </w:tc>
        <w:tc>
          <w:tcPr>
            <w:tcW w:type="dxa" w:w="1514"/>
            <w:shd w:val="clear" w:color="auto" w:fill="D9D9D9"/>
          </w:tcPr>
          <w:p>
            <w:pPr>
              <w:spacing w:before="20" w:after="20"/>
            </w:pPr>
            <w:r/>
            <w:r>
              <w:rPr>
                <w:rFonts w:ascii="Verdana" w:hAnsi="Verdana"/>
                <w:b w:val="0"/>
                <w:sz w:val="16"/>
              </w:rPr>
              <w:t>ESCALA</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NOTA</w:t>
            </w:r>
          </w:p>
        </w:tc>
      </w:tr>
      <w:tr>
        <w:trPr>
          <w:cantSplit/>
        </w:trPr>
        <w:tc>
          <w:tcPr>
            <w:tcW w:type="dxa" w:w="1514"/>
          </w:tcPr>
          <w:p>
            <w:pPr>
              <w:spacing w:before="20" w:after="20"/>
            </w:pPr>
            <w:r/>
            <w:r>
              <w:rPr>
                <w:rFonts w:ascii="Verdana" w:hAnsi="Verdana"/>
                <w:b w:val="0"/>
                <w:sz w:val="16"/>
              </w:rPr>
              <w:t>0 25 001</w:t>
            </w:r>
          </w:p>
        </w:tc>
        <w:tc>
          <w:tcPr>
            <w:tcW w:type="dxa" w:w="1514"/>
          </w:tcPr>
          <w:p>
            <w:pPr>
              <w:spacing w:before="20" w:after="20"/>
            </w:pPr>
            <w:r/>
            <w:r>
              <w:rPr>
                <w:rFonts w:ascii="Verdana" w:hAnsi="Verdana"/>
                <w:b w:val="0"/>
                <w:sz w:val="16"/>
              </w:rPr>
              <w:t>Distancia de la puerta de integración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0 25 002</w:t>
            </w:r>
          </w:p>
        </w:tc>
        <w:tc>
          <w:tcPr>
            <w:tcW w:type="dxa" w:w="1514"/>
          </w:tcPr>
          <w:p>
            <w:pPr>
              <w:spacing w:before="20" w:after="20"/>
            </w:pPr>
            <w:r/>
            <w:r>
              <w:rPr>
                <w:rFonts w:ascii="Verdana" w:hAnsi="Verdana"/>
                <w:b w:val="0"/>
                <w:sz w:val="16"/>
              </w:rPr>
              <w:t>Número medio de puertas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0 25 003</w:t>
            </w:r>
          </w:p>
        </w:tc>
        <w:tc>
          <w:tcPr>
            <w:tcW w:type="dxa" w:w="1514"/>
          </w:tcPr>
          <w:p>
            <w:pPr>
              <w:spacing w:before="20" w:after="20"/>
            </w:pPr>
            <w:r/>
            <w:r>
              <w:rPr>
                <w:rFonts w:ascii="Verdana" w:hAnsi="Verdana"/>
                <w:b w:val="0"/>
                <w:sz w:val="16"/>
              </w:rPr>
              <w:t>Número de impulsos integrados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0 25 004</w:t>
            </w:r>
          </w:p>
        </w:tc>
        <w:tc>
          <w:tcPr>
            <w:tcW w:type="dxa" w:w="1514"/>
          </w:tcPr>
          <w:p>
            <w:pPr>
              <w:spacing w:before="20" w:after="20"/>
            </w:pPr>
            <w:r/>
            <w:r>
              <w:rPr>
                <w:rFonts w:ascii="Verdana" w:hAnsi="Verdana"/>
                <w:b w:val="0"/>
                <w:sz w:val="16"/>
              </w:rPr>
              <w:t>Proceso de datos sobre ecos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0 25 005</w:t>
            </w:r>
          </w:p>
        </w:tc>
        <w:tc>
          <w:tcPr>
            <w:tcW w:type="dxa" w:w="1514"/>
          </w:tcPr>
          <w:p>
            <w:pPr>
              <w:spacing w:before="20" w:after="20"/>
            </w:pPr>
            <w:r/>
            <w:r>
              <w:rPr>
                <w:rFonts w:ascii="Verdana" w:hAnsi="Verdana"/>
                <w:b w:val="0"/>
                <w:sz w:val="16"/>
              </w:rPr>
              <w:t>Integración de los ecos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0 25 006</w:t>
            </w:r>
          </w:p>
        </w:tc>
        <w:tc>
          <w:tcPr>
            <w:tcW w:type="dxa" w:w="1514"/>
          </w:tcPr>
          <w:p>
            <w:pPr>
              <w:spacing w:before="20" w:after="20"/>
            </w:pPr>
            <w:r/>
            <w:r>
              <w:rPr>
                <w:rFonts w:ascii="Verdana" w:hAnsi="Verdana"/>
                <w:b w:val="0"/>
                <w:sz w:val="16"/>
              </w:rPr>
              <w:t>Conversión Z - R</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0 25 007</w:t>
            </w:r>
          </w:p>
        </w:tc>
        <w:tc>
          <w:tcPr>
            <w:tcW w:type="dxa" w:w="1514"/>
          </w:tcPr>
          <w:p>
            <w:pPr>
              <w:spacing w:before="20" w:after="20"/>
            </w:pPr>
            <w:r/>
            <w:r>
              <w:rPr>
                <w:rFonts w:ascii="Verdana" w:hAnsi="Verdana"/>
                <w:b w:val="0"/>
                <w:sz w:val="16"/>
              </w:rPr>
              <w:t>Factor de conversión Z - R</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0 25 008</w:t>
            </w:r>
          </w:p>
        </w:tc>
        <w:tc>
          <w:tcPr>
            <w:tcW w:type="dxa" w:w="1514"/>
          </w:tcPr>
          <w:p>
            <w:pPr>
              <w:spacing w:before="20" w:after="20"/>
            </w:pPr>
            <w:r/>
            <w:r>
              <w:rPr>
                <w:rFonts w:ascii="Verdana" w:hAnsi="Verdana"/>
                <w:b w:val="0"/>
                <w:sz w:val="16"/>
              </w:rPr>
              <w:t>Exponente de conversión Z -R</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0 25 009</w:t>
            </w:r>
          </w:p>
        </w:tc>
        <w:tc>
          <w:tcPr>
            <w:tcW w:type="dxa" w:w="1514"/>
          </w:tcPr>
          <w:p>
            <w:pPr>
              <w:spacing w:before="20" w:after="20"/>
            </w:pPr>
            <w:r/>
            <w:r>
              <w:rPr>
                <w:rFonts w:ascii="Verdana" w:hAnsi="Verdana"/>
                <w:b w:val="0"/>
                <w:sz w:val="16"/>
              </w:rPr>
              <w:t>Método de calibración</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56: Las secuencias 3 09 021, 3 09 022 y 3 09 023 no deberían utilizarse porque están obsoletas. En su lugar deberían utilizarse las secuencias 3 09 024, 3 09 025 y 3 09 026 respectivamente.</w:t>
            </w:r>
          </w:p>
        </w:tc>
      </w:tr>
      <w:tr>
        <w:trPr>
          <w:cantSplit/>
        </w:trPr>
        <w:tc>
          <w:tcPr>
            <w:tcW w:type="dxa" w:w="1514"/>
          </w:tcPr>
          <w:p>
            <w:pPr>
              <w:spacing w:before="20" w:after="20"/>
            </w:pPr>
            <w:r/>
            <w:r>
              <w:rPr>
                <w:rFonts w:ascii="Verdana" w:hAnsi="Verdana"/>
                <w:b w:val="0"/>
                <w:sz w:val="16"/>
              </w:rPr>
              <w:t>0 25 010</w:t>
            </w:r>
          </w:p>
        </w:tc>
        <w:tc>
          <w:tcPr>
            <w:tcW w:type="dxa" w:w="1514"/>
          </w:tcPr>
          <w:p>
            <w:pPr>
              <w:spacing w:before="20" w:after="20"/>
            </w:pPr>
            <w:r/>
            <w:r>
              <w:rPr>
                <w:rFonts w:ascii="Verdana" w:hAnsi="Verdana"/>
                <w:b w:val="0"/>
                <w:sz w:val="16"/>
              </w:rPr>
              <w:t>Tratamiento de los ecos parásitos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0 25 011</w:t>
            </w:r>
          </w:p>
        </w:tc>
        <w:tc>
          <w:tcPr>
            <w:tcW w:type="dxa" w:w="1514"/>
          </w:tcPr>
          <w:p>
            <w:pPr>
              <w:spacing w:before="20" w:after="20"/>
            </w:pPr>
            <w:r/>
            <w:r>
              <w:rPr>
                <w:rFonts w:ascii="Verdana" w:hAnsi="Verdana"/>
                <w:b w:val="0"/>
                <w:sz w:val="16"/>
              </w:rPr>
              <w:t>Corrección de los ecos de suelo (filtrado)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0 25 012</w:t>
            </w:r>
          </w:p>
        </w:tc>
        <w:tc>
          <w:tcPr>
            <w:tcW w:type="dxa" w:w="1514"/>
          </w:tcPr>
          <w:p>
            <w:pPr>
              <w:spacing w:before="20" w:after="20"/>
            </w:pPr>
            <w:r/>
            <w:r>
              <w:rPr>
                <w:rFonts w:ascii="Verdana" w:hAnsi="Verdana"/>
                <w:b w:val="0"/>
                <w:sz w:val="16"/>
              </w:rPr>
              <w:t>Corrección de la atenuación del alcance</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0 25 013</w:t>
            </w:r>
          </w:p>
        </w:tc>
        <w:tc>
          <w:tcPr>
            <w:tcW w:type="dxa" w:w="1514"/>
          </w:tcPr>
          <w:p>
            <w:pPr>
              <w:spacing w:before="20" w:after="20"/>
            </w:pPr>
            <w:r/>
            <w:r>
              <w:rPr>
                <w:rFonts w:ascii="Verdana" w:hAnsi="Verdana"/>
                <w:b w:val="0"/>
                <w:sz w:val="16"/>
              </w:rPr>
              <w:t>Corrección de la banda brillante</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0 25 014</w:t>
            </w:r>
          </w:p>
        </w:tc>
        <w:tc>
          <w:tcPr>
            <w:tcW w:type="dxa" w:w="1514"/>
          </w:tcPr>
          <w:p>
            <w:pPr>
              <w:spacing w:before="20" w:after="20"/>
            </w:pPr>
            <w:r/>
            <w:r>
              <w:rPr>
                <w:rFonts w:ascii="Verdana" w:hAnsi="Verdana"/>
                <w:b w:val="0"/>
                <w:sz w:val="16"/>
              </w:rPr>
              <w:t>Corte azimutal de ecos parásitos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15: Los descriptores del 3 03 021 al 3 03 027 no están disponibles en la clave CREX.</w:t>
            </w:r>
          </w:p>
        </w:tc>
      </w:tr>
      <w:tr>
        <w:trPr>
          <w:cantSplit/>
        </w:trPr>
        <w:tc>
          <w:tcPr>
            <w:tcW w:type="dxa" w:w="1514"/>
          </w:tcPr>
          <w:p>
            <w:pPr>
              <w:spacing w:before="20" w:after="20"/>
            </w:pPr>
            <w:r/>
            <w:r>
              <w:rPr>
                <w:rFonts w:ascii="Verdana" w:hAnsi="Verdana"/>
                <w:b w:val="0"/>
                <w:sz w:val="16"/>
              </w:rPr>
              <w:t>0 25 015</w:t>
            </w:r>
          </w:p>
        </w:tc>
        <w:tc>
          <w:tcPr>
            <w:tcW w:type="dxa" w:w="1514"/>
          </w:tcPr>
          <w:p>
            <w:pPr>
              <w:spacing w:before="20" w:after="20"/>
            </w:pPr>
            <w:r/>
            <w:r>
              <w:rPr>
                <w:rFonts w:ascii="Verdana" w:hAnsi="Verdana"/>
                <w:b w:val="0"/>
                <w:sz w:val="16"/>
              </w:rPr>
              <w:t>Corrección de la atenuación por el radomo</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0 25 016</w:t>
            </w:r>
          </w:p>
        </w:tc>
        <w:tc>
          <w:tcPr>
            <w:tcW w:type="dxa" w:w="1514"/>
          </w:tcPr>
          <w:p>
            <w:pPr>
              <w:spacing w:before="20" w:after="20"/>
            </w:pPr>
            <w:r/>
            <w:r>
              <w:rPr>
                <w:rFonts w:ascii="Verdana" w:hAnsi="Verdana"/>
                <w:b w:val="0"/>
                <w:sz w:val="16"/>
              </w:rPr>
              <w:t>Corrección de la atenuación en cielo despejado</w:t>
            </w:r>
          </w:p>
        </w:tc>
        <w:tc>
          <w:tcPr>
            <w:tcW w:type="dxa" w:w="1514"/>
          </w:tcPr>
          <w:p>
            <w:pPr>
              <w:spacing w:before="20" w:after="20"/>
            </w:pPr>
            <w:r/>
            <w:r>
              <w:rPr>
                <w:rFonts w:ascii="Verdana" w:hAnsi="Verdana"/>
                <w:sz w:val="16"/>
              </w:rPr>
              <w:t>dB m</w:t>
            </w:r>
            <w:r>
              <w:rPr>
                <w:rFonts w:ascii="Verdana" w:hAnsi="Verdana"/>
                <w:sz w:val="16"/>
                <w:vertAlign w:val="superscript"/>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dB m</w:t>
            </w:r>
            <w:r>
              <w:rPr>
                <w:rFonts w:ascii="Verdana" w:hAnsi="Verdana"/>
                <w:sz w:val="16"/>
                <w:vertAlign w:val="superscript"/>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0 25 017</w:t>
            </w:r>
          </w:p>
        </w:tc>
        <w:tc>
          <w:tcPr>
            <w:tcW w:type="dxa" w:w="1514"/>
          </w:tcPr>
          <w:p>
            <w:pPr>
              <w:spacing w:before="20" w:after="20"/>
            </w:pPr>
            <w:r/>
            <w:r>
              <w:rPr>
                <w:rFonts w:ascii="Verdana" w:hAnsi="Verdana"/>
                <w:b w:val="0"/>
                <w:sz w:val="16"/>
              </w:rPr>
              <w:t>Corrección de la atenuación por las precipitaciones</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0 25 018</w:t>
            </w:r>
          </w:p>
        </w:tc>
        <w:tc>
          <w:tcPr>
            <w:tcW w:type="dxa" w:w="1514"/>
          </w:tcPr>
          <w:p>
            <w:pPr>
              <w:spacing w:before="20" w:after="20"/>
            </w:pPr>
            <w:r/>
            <w:r>
              <w:rPr>
                <w:rFonts w:ascii="Verdana" w:hAnsi="Verdana"/>
                <w:b w:val="0"/>
                <w:sz w:val="16"/>
              </w:rPr>
              <w:t>Ley de A a Z para el factor de atenuación</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0 25 019</w:t>
            </w:r>
          </w:p>
        </w:tc>
        <w:tc>
          <w:tcPr>
            <w:tcW w:type="dxa" w:w="1514"/>
          </w:tcPr>
          <w:p>
            <w:pPr>
              <w:spacing w:before="20" w:after="20"/>
            </w:pPr>
            <w:r/>
            <w:r>
              <w:rPr>
                <w:rFonts w:ascii="Verdana" w:hAnsi="Verdana"/>
                <w:b w:val="0"/>
                <w:sz w:val="16"/>
              </w:rPr>
              <w:t>Ley de A a Z para el exponente de atenuación</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0 25 020</w:t>
            </w:r>
          </w:p>
        </w:tc>
        <w:tc>
          <w:tcPr>
            <w:tcW w:type="dxa" w:w="1514"/>
          </w:tcPr>
          <w:p>
            <w:pPr>
              <w:spacing w:before="20" w:after="20"/>
            </w:pPr>
            <w:r/>
            <w:r>
              <w:rPr>
                <w:rFonts w:ascii="Verdana" w:hAnsi="Verdana"/>
                <w:b w:val="0"/>
                <w:sz w:val="16"/>
              </w:rPr>
              <w:t>Estimación de la velocidad media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0 25 021</w:t>
            </w:r>
          </w:p>
        </w:tc>
        <w:tc>
          <w:tcPr>
            <w:tcW w:type="dxa" w:w="1514"/>
          </w:tcPr>
          <w:p>
            <w:pPr>
              <w:spacing w:before="20" w:after="20"/>
            </w:pPr>
            <w:r/>
            <w:r>
              <w:rPr>
                <w:rFonts w:ascii="Verdana" w:hAnsi="Verdana"/>
                <w:b w:val="0"/>
                <w:sz w:val="16"/>
              </w:rPr>
              <w:t>Refuerzo del cálculo del viento</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0 25 022</w:t>
            </w:r>
          </w:p>
        </w:tc>
        <w:tc>
          <w:tcPr>
            <w:tcW w:type="dxa" w:w="1514"/>
          </w:tcPr>
          <w:p>
            <w:pPr>
              <w:spacing w:before="20" w:after="20"/>
            </w:pPr>
            <w:r/>
            <w:r>
              <w:rPr>
                <w:rFonts w:ascii="Verdana" w:hAnsi="Verdana"/>
                <w:b w:val="0"/>
                <w:sz w:val="16"/>
              </w:rPr>
              <w:t>Banderín de rechazo GHRSST*</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0 25 023</w:t>
            </w:r>
          </w:p>
        </w:tc>
        <w:tc>
          <w:tcPr>
            <w:tcW w:type="dxa" w:w="1514"/>
          </w:tcPr>
          <w:p>
            <w:pPr>
              <w:spacing w:before="20" w:after="20"/>
            </w:pPr>
            <w:r/>
            <w:r>
              <w:rPr>
                <w:rFonts w:ascii="Verdana" w:hAnsi="Verdana"/>
                <w:b w:val="0"/>
                <w:sz w:val="16"/>
              </w:rPr>
              <w:t>Banderín de confianza GHRSST</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0 25 024</w:t>
            </w:r>
          </w:p>
        </w:tc>
        <w:tc>
          <w:tcPr>
            <w:tcW w:type="dxa" w:w="1514"/>
          </w:tcPr>
          <w:p>
            <w:pPr>
              <w:spacing w:before="20" w:after="20"/>
            </w:pPr>
            <w:r/>
            <w:r>
              <w:rPr>
                <w:rFonts w:ascii="Verdana" w:hAnsi="Verdana"/>
                <w:b w:val="0"/>
                <w:sz w:val="16"/>
              </w:rPr>
              <w:t>Calidad de datos GHRSST</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0 25 025</w:t>
            </w:r>
          </w:p>
        </w:tc>
        <w:tc>
          <w:tcPr>
            <w:tcW w:type="dxa" w:w="1514"/>
          </w:tcPr>
          <w:p>
            <w:pPr>
              <w:spacing w:before="20" w:after="20"/>
            </w:pPr>
            <w:r/>
            <w:r>
              <w:rPr>
                <w:rFonts w:ascii="Verdana" w:hAnsi="Verdana"/>
                <w:b w:val="0"/>
                <w:sz w:val="16"/>
              </w:rPr>
              <w:t>Voltaje de la batería</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0 25 026</w:t>
            </w:r>
          </w:p>
        </w:tc>
        <w:tc>
          <w:tcPr>
            <w:tcW w:type="dxa" w:w="1514"/>
          </w:tcPr>
          <w:p>
            <w:pPr>
              <w:spacing w:before="20" w:after="20"/>
            </w:pPr>
            <w:r/>
            <w:r>
              <w:rPr>
                <w:rFonts w:ascii="Verdana" w:hAnsi="Verdana"/>
                <w:b w:val="0"/>
                <w:sz w:val="16"/>
              </w:rPr>
              <w:t>Voltaje de la batería (intervalo amplio)</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0 25 028</w:t>
            </w:r>
          </w:p>
        </w:tc>
        <w:tc>
          <w:tcPr>
            <w:tcW w:type="dxa" w:w="1514"/>
          </w:tcPr>
          <w:p>
            <w:pPr>
              <w:spacing w:before="20" w:after="20"/>
            </w:pPr>
            <w:r/>
            <w:r>
              <w:rPr>
                <w:rFonts w:ascii="Verdana" w:hAnsi="Verdana"/>
                <w:b w:val="0"/>
                <w:sz w:val="16"/>
              </w:rPr>
              <w:t>Parámetro definido por el operador o fabricante</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-16384</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0 25 029</w:t>
            </w:r>
          </w:p>
        </w:tc>
        <w:tc>
          <w:tcPr>
            <w:tcW w:type="dxa" w:w="1514"/>
          </w:tcPr>
          <w:p>
            <w:pPr>
              <w:spacing w:before="20" w:after="20"/>
            </w:pPr>
            <w:r/>
            <w:r>
              <w:rPr>
                <w:rFonts w:ascii="Verdana" w:hAnsi="Verdana"/>
                <w:b w:val="0"/>
                <w:sz w:val="16"/>
              </w:rPr>
              <w:t>Método de calibración</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56: Las secuencias 3 09 021, 3 09 022 y 3 09 023 no deberían utilizarse porque están obsoletas. En su lugar deberían utilizarse las secuencias 3 09 024, 3 09 025 y 3 09 026 respectivamente.</w:t>
            </w:r>
          </w:p>
        </w:tc>
      </w:tr>
      <w:tr>
        <w:trPr>
          <w:cantSplit/>
        </w:trPr>
        <w:tc>
          <w:tcPr>
            <w:tcW w:type="dxa" w:w="1514"/>
          </w:tcPr>
          <w:p>
            <w:pPr>
              <w:spacing w:before="20" w:after="20"/>
            </w:pPr>
            <w:r/>
            <w:r>
              <w:rPr>
                <w:rFonts w:ascii="Verdana" w:hAnsi="Verdana"/>
                <w:b w:val="0"/>
                <w:sz w:val="16"/>
              </w:rPr>
              <w:t>0 25 030</w:t>
            </w:r>
          </w:p>
        </w:tc>
        <w:tc>
          <w:tcPr>
            <w:tcW w:type="dxa" w:w="1514"/>
          </w:tcPr>
          <w:p>
            <w:pPr>
              <w:spacing w:before="20" w:after="20"/>
            </w:pPr>
            <w:r/>
            <w:r>
              <w:rPr>
                <w:rFonts w:ascii="Verdana" w:hAnsi="Verdana"/>
                <w:b w:val="0"/>
                <w:sz w:val="16"/>
              </w:rPr>
              <w:t>Media móvil de la temperatura en la superficie del mar</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0 25 031</w:t>
            </w:r>
          </w:p>
        </w:tc>
        <w:tc>
          <w:tcPr>
            <w:tcW w:type="dxa" w:w="1514"/>
          </w:tcPr>
          <w:p>
            <w:pPr>
              <w:spacing w:before="20" w:after="20"/>
            </w:pPr>
            <w:r/>
            <w:r>
              <w:rPr>
                <w:rFonts w:ascii="Verdana" w:hAnsi="Verdana"/>
                <w:b w:val="0"/>
                <w:sz w:val="16"/>
              </w:rPr>
              <w:t>Método de adelgazamiento del perfil vertical generado por predicción numérica del tiempo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0 25 032</w:t>
            </w:r>
          </w:p>
        </w:tc>
        <w:tc>
          <w:tcPr>
            <w:tcW w:type="dxa" w:w="1514"/>
          </w:tcPr>
          <w:p>
            <w:pPr>
              <w:spacing w:before="20" w:after="20"/>
            </w:pPr>
            <w:r/>
            <w:r>
              <w:rPr>
                <w:rFonts w:ascii="Verdana" w:hAnsi="Verdana"/>
                <w:b w:val="0"/>
                <w:sz w:val="16"/>
              </w:rPr>
              <w:t>Información sobre el modo del perfilador del viento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Note 131: El significado real de esta cantidad puede obtenerse en el centro de origen de los datos.</w:t>
            </w:r>
          </w:p>
        </w:tc>
      </w:tr>
      <w:tr>
        <w:trPr>
          <w:cantSplit/>
        </w:trPr>
        <w:tc>
          <w:tcPr>
            <w:tcW w:type="dxa" w:w="1514"/>
          </w:tcPr>
          <w:p>
            <w:pPr>
              <w:spacing w:before="20" w:after="20"/>
            </w:pPr>
            <w:r/>
            <w:r>
              <w:rPr>
                <w:rFonts w:ascii="Verdana" w:hAnsi="Verdana"/>
                <w:b w:val="0"/>
                <w:sz w:val="16"/>
              </w:rPr>
              <w:t>0 25 033</w:t>
            </w:r>
          </w:p>
        </w:tc>
        <w:tc>
          <w:tcPr>
            <w:tcW w:type="dxa" w:w="1514"/>
          </w:tcPr>
          <w:p>
            <w:pPr>
              <w:spacing w:before="20" w:after="20"/>
            </w:pPr>
            <w:r/>
            <w:r>
              <w:rPr>
                <w:rFonts w:ascii="Verdana" w:hAnsi="Verdana"/>
                <w:b w:val="0"/>
                <w:sz w:val="16"/>
              </w:rPr>
              <w:t>Información sobre el submodo del perfilador del viento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Note 131: El significado real de esta cantidad puede obtenerse en el centro de origen de los datos.</w:t>
            </w:r>
          </w:p>
        </w:tc>
      </w:tr>
      <w:tr>
        <w:trPr>
          <w:cantSplit/>
        </w:trPr>
        <w:tc>
          <w:tcPr>
            <w:tcW w:type="dxa" w:w="1514"/>
          </w:tcPr>
          <w:p>
            <w:pPr>
              <w:spacing w:before="20" w:after="20"/>
            </w:pPr>
            <w:r/>
            <w:r>
              <w:rPr>
                <w:rFonts w:ascii="Verdana" w:hAnsi="Verdana"/>
                <w:b w:val="0"/>
                <w:sz w:val="16"/>
              </w:rPr>
              <w:t>0 25 034</w:t>
            </w:r>
          </w:p>
        </w:tc>
        <w:tc>
          <w:tcPr>
            <w:tcW w:type="dxa" w:w="1514"/>
          </w:tcPr>
          <w:p>
            <w:pPr>
              <w:spacing w:before="20" w:after="20"/>
            </w:pPr>
            <w:r/>
            <w:r>
              <w:rPr>
                <w:rFonts w:ascii="Verdana" w:hAnsi="Verdana"/>
                <w:b w:val="0"/>
                <w:sz w:val="16"/>
              </w:rPr>
              <w:t>Resultados de las pruebas de control de calidad del perfilador del viento</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131: El significado real de esta cantidad puede obtenerse en el centro de origen de los datos.</w:t>
            </w:r>
          </w:p>
        </w:tc>
      </w:tr>
      <w:tr>
        <w:trPr>
          <w:cantSplit/>
        </w:trPr>
        <w:tc>
          <w:tcPr>
            <w:tcW w:type="dxa" w:w="1514"/>
          </w:tcPr>
          <w:p>
            <w:pPr>
              <w:spacing w:before="20" w:after="20"/>
            </w:pPr>
            <w:r/>
            <w:r>
              <w:rPr>
                <w:rFonts w:ascii="Verdana" w:hAnsi="Verdana"/>
                <w:b w:val="0"/>
                <w:sz w:val="16"/>
              </w:rPr>
              <w:t>0 25 035</w:t>
            </w:r>
          </w:p>
        </w:tc>
        <w:tc>
          <w:tcPr>
            <w:tcW w:type="dxa" w:w="1514"/>
          </w:tcPr>
          <w:p>
            <w:pPr>
              <w:spacing w:before="20" w:after="20"/>
            </w:pPr>
            <w:r/>
            <w:r>
              <w:rPr>
                <w:rFonts w:ascii="Verdana" w:hAnsi="Verdana"/>
                <w:b w:val="0"/>
                <w:sz w:val="16"/>
              </w:rPr>
              <w:t>Método de decisión para la polaridad</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Note 34: El desplazamiento de latitud 0 05 015 representa la diferencia de latitud respecto de la latitud del lugar de lanzamiento. El desplazamiento de longitud 0 06 015 representa la diferencia de longitud respecto de la longitud del lugar de lanzamiento.</w:t>
            </w:r>
          </w:p>
        </w:tc>
      </w:tr>
      <w:tr>
        <w:trPr>
          <w:cantSplit/>
        </w:trPr>
        <w:tc>
          <w:tcPr>
            <w:tcW w:type="dxa" w:w="1514"/>
          </w:tcPr>
          <w:p>
            <w:pPr>
              <w:spacing w:before="20" w:after="20"/>
            </w:pPr>
            <w:r/>
            <w:r>
              <w:rPr>
                <w:rFonts w:ascii="Verdana" w:hAnsi="Verdana"/>
                <w:b w:val="0"/>
                <w:sz w:val="16"/>
              </w:rPr>
              <w:t>0 25 036</w:t>
            </w:r>
          </w:p>
        </w:tc>
        <w:tc>
          <w:tcPr>
            <w:tcW w:type="dxa" w:w="1514"/>
          </w:tcPr>
          <w:p>
            <w:pPr>
              <w:spacing w:before="20" w:after="20"/>
            </w:pPr>
            <w:r/>
            <w:r>
              <w:rPr>
                <w:rFonts w:ascii="Verdana" w:hAnsi="Verdana"/>
                <w:b w:val="0"/>
                <w:sz w:val="16"/>
              </w:rPr>
              <w:t>Método de ubicación de parásitos atmosféricos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0 25 037</w:t>
            </w:r>
          </w:p>
        </w:tc>
        <w:tc>
          <w:tcPr>
            <w:tcW w:type="dxa" w:w="1514"/>
          </w:tcPr>
          <w:p>
            <w:pPr>
              <w:spacing w:before="20" w:after="20"/>
            </w:pPr>
            <w:r/>
            <w:r>
              <w:rPr>
                <w:rFonts w:ascii="Verdana" w:hAnsi="Verdana"/>
                <w:b w:val="0"/>
                <w:sz w:val="16"/>
              </w:rPr>
              <w:t>Error sistemático de TSM</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-127</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0 25 038</w:t>
            </w:r>
          </w:p>
        </w:tc>
        <w:tc>
          <w:tcPr>
            <w:tcW w:type="dxa" w:w="1514"/>
          </w:tcPr>
          <w:p>
            <w:pPr>
              <w:spacing w:before="20" w:after="20"/>
            </w:pPr>
            <w:r/>
            <w:r>
              <w:rPr>
                <w:rFonts w:ascii="Verdana" w:hAnsi="Verdana"/>
                <w:b w:val="0"/>
                <w:sz w:val="16"/>
              </w:rPr>
              <w:t>Diferencia entre TSM y análisis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-127</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0 25 040</w:t>
            </w:r>
          </w:p>
        </w:tc>
        <w:tc>
          <w:tcPr>
            <w:tcW w:type="dxa" w:w="1514"/>
          </w:tcPr>
          <w:p>
            <w:pPr>
              <w:spacing w:before="20" w:after="20"/>
            </w:pPr>
            <w:r/>
            <w:r>
              <w:rPr>
                <w:rFonts w:ascii="Verdana" w:hAnsi="Verdana"/>
                <w:b w:val="0"/>
                <w:sz w:val="16"/>
              </w:rPr>
              <w:t>Producto de viento obtenido por el trazador de CO2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0 25 041</w:t>
            </w:r>
          </w:p>
        </w:tc>
        <w:tc>
          <w:tcPr>
            <w:tcW w:type="dxa" w:w="1514"/>
          </w:tcPr>
          <w:p>
            <w:pPr>
              <w:spacing w:before="20" w:after="20"/>
            </w:pPr>
            <w:r/>
            <w:r>
              <w:rPr>
                <w:rFonts w:ascii="Verdana" w:hAnsi="Verdana"/>
                <w:b w:val="0"/>
                <w:sz w:val="16"/>
              </w:rPr>
              <w:t>Método de información sobre la dirección de la plataforma móvil</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0 25 042</w:t>
            </w:r>
          </w:p>
        </w:tc>
        <w:tc>
          <w:tcPr>
            <w:tcW w:type="dxa" w:w="1514"/>
          </w:tcPr>
          <w:p>
            <w:pPr>
              <w:spacing w:before="20" w:after="20"/>
            </w:pPr>
            <w:r/>
            <w:r>
              <w:rPr>
                <w:rFonts w:ascii="Verdana" w:hAnsi="Verdana"/>
                <w:b w:val="0"/>
                <w:sz w:val="16"/>
              </w:rPr>
              <w:t>Método de información sobre la velocidad de la plataforma móvil</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0 25 043</w:t>
            </w:r>
          </w:p>
        </w:tc>
        <w:tc>
          <w:tcPr>
            <w:tcW w:type="dxa" w:w="1514"/>
          </w:tcPr>
          <w:p>
            <w:pPr>
              <w:spacing w:before="20" w:after="20"/>
            </w:pPr>
            <w:r/>
            <w:r>
              <w:rPr>
                <w:rFonts w:ascii="Verdana" w:hAnsi="Verdana"/>
                <w:b w:val="0"/>
                <w:sz w:val="16"/>
              </w:rPr>
              <w:t>Intervalo de muestreo de las olas (tiempo)</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0 25 044</w:t>
            </w:r>
          </w:p>
        </w:tc>
        <w:tc>
          <w:tcPr>
            <w:tcW w:type="dxa" w:w="1514"/>
          </w:tcPr>
          <w:p>
            <w:pPr>
              <w:spacing w:before="20" w:after="20"/>
            </w:pPr>
            <w:r/>
            <w:r>
              <w:rPr>
                <w:rFonts w:ascii="Verdana" w:hAnsi="Verdana"/>
                <w:b w:val="0"/>
                <w:sz w:val="16"/>
              </w:rPr>
              <w:t>Intervalo de muestreo de las olas (espacio)</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0 25 045</w:t>
            </w:r>
          </w:p>
        </w:tc>
        <w:tc>
          <w:tcPr>
            <w:tcW w:type="dxa" w:w="1514"/>
          </w:tcPr>
          <w:p>
            <w:pPr>
              <w:spacing w:before="20" w:after="20"/>
            </w:pPr>
            <w:r/>
            <w:r>
              <w:rPr>
                <w:rFonts w:ascii="Verdana" w:hAnsi="Verdana"/>
                <w:b w:val="0"/>
                <w:sz w:val="16"/>
              </w:rPr>
              <w:t>Combinación de canales de la sonda HIRS</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0 25 046</w:t>
            </w:r>
          </w:p>
        </w:tc>
        <w:tc>
          <w:tcPr>
            <w:tcW w:type="dxa" w:w="1514"/>
          </w:tcPr>
          <w:p>
            <w:pPr>
              <w:spacing w:before="20" w:after="20"/>
            </w:pPr>
            <w:r/>
            <w:r>
              <w:rPr>
                <w:rFonts w:ascii="Verdana" w:hAnsi="Verdana"/>
                <w:b w:val="0"/>
                <w:sz w:val="16"/>
              </w:rPr>
              <w:t>Combinación de canales de la sonda MSU</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0 25 047</w:t>
            </w:r>
          </w:p>
        </w:tc>
        <w:tc>
          <w:tcPr>
            <w:tcW w:type="dxa" w:w="1514"/>
          </w:tcPr>
          <w:p>
            <w:pPr>
              <w:spacing w:before="20" w:after="20"/>
            </w:pPr>
            <w:r/>
            <w:r>
              <w:rPr>
                <w:rFonts w:ascii="Verdana" w:hAnsi="Verdana"/>
                <w:b w:val="0"/>
                <w:sz w:val="16"/>
              </w:rPr>
              <w:t>Combinación de canales de la sonda SSU</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0 25 048</w:t>
            </w:r>
          </w:p>
        </w:tc>
        <w:tc>
          <w:tcPr>
            <w:tcW w:type="dxa" w:w="1514"/>
          </w:tcPr>
          <w:p>
            <w:pPr>
              <w:spacing w:before="20" w:after="20"/>
            </w:pPr>
            <w:r/>
            <w:r>
              <w:rPr>
                <w:rFonts w:ascii="Verdana" w:hAnsi="Verdana"/>
                <w:b w:val="0"/>
                <w:sz w:val="16"/>
              </w:rPr>
              <w:t>Combinación de canales de la sonda AMSU-A</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0 25 049</w:t>
            </w:r>
          </w:p>
        </w:tc>
        <w:tc>
          <w:tcPr>
            <w:tcW w:type="dxa" w:w="1514"/>
          </w:tcPr>
          <w:p>
            <w:pPr>
              <w:spacing w:before="20" w:after="20"/>
            </w:pPr>
            <w:r/>
            <w:r>
              <w:rPr>
                <w:rFonts w:ascii="Verdana" w:hAnsi="Verdana"/>
                <w:b w:val="0"/>
                <w:sz w:val="16"/>
              </w:rPr>
              <w:t>Combinación de canales de la sonda AMSU-B</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0 25 050</w:t>
            </w:r>
          </w:p>
        </w:tc>
        <w:tc>
          <w:tcPr>
            <w:tcW w:type="dxa" w:w="1514"/>
          </w:tcPr>
          <w:p>
            <w:pPr>
              <w:spacing w:before="20" w:after="20"/>
            </w:pPr>
            <w:r/>
            <w:r>
              <w:rPr>
                <w:rFonts w:ascii="Verdana" w:hAnsi="Verdana"/>
                <w:b w:val="0"/>
                <w:sz w:val="16"/>
              </w:rPr>
              <w:t>Índice del componente principal</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-131072</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0 25 051</w:t>
            </w:r>
          </w:p>
        </w:tc>
        <w:tc>
          <w:tcPr>
            <w:tcW w:type="dxa" w:w="1514"/>
          </w:tcPr>
          <w:p>
            <w:pPr>
              <w:spacing w:before="20" w:after="20"/>
            </w:pPr>
            <w:r/>
            <w:r>
              <w:rPr>
                <w:rFonts w:ascii="Verdana" w:hAnsi="Verdana"/>
                <w:b w:val="0"/>
                <w:sz w:val="16"/>
              </w:rPr>
              <w:t>Combinación de los canales del radiómetro AVHRR</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0 25 052</w:t>
            </w:r>
          </w:p>
        </w:tc>
        <w:tc>
          <w:tcPr>
            <w:tcW w:type="dxa" w:w="1514"/>
          </w:tcPr>
          <w:p>
            <w:pPr>
              <w:spacing w:before="20" w:after="20"/>
            </w:pPr>
            <w:r/>
            <w:r>
              <w:rPr>
                <w:rFonts w:ascii="Verdana" w:hAnsi="Verdana"/>
                <w:b w:val="0"/>
                <w:sz w:val="16"/>
              </w:rPr>
              <w:t>Log-10 del ajuste a los datos normalizado de los principales componentes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0 25 053</w:t>
            </w:r>
          </w:p>
        </w:tc>
        <w:tc>
          <w:tcPr>
            <w:tcW w:type="dxa" w:w="1514"/>
          </w:tcPr>
          <w:p>
            <w:pPr>
              <w:spacing w:before="20" w:after="20"/>
            </w:pPr>
            <w:r/>
            <w:r>
              <w:rPr>
                <w:rFonts w:ascii="Verdana" w:hAnsi="Verdana"/>
                <w:b w:val="0"/>
                <w:sz w:val="16"/>
              </w:rPr>
              <w:t>Calidad de la observación</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0 25 054</w:t>
            </w:r>
          </w:p>
        </w:tc>
        <w:tc>
          <w:tcPr>
            <w:tcW w:type="dxa" w:w="1514"/>
          </w:tcPr>
          <w:p>
            <w:pPr>
              <w:spacing w:before="20" w:after="20"/>
            </w:pPr>
            <w:r/>
            <w:r>
              <w:rPr>
                <w:rFonts w:ascii="Verdana" w:hAnsi="Verdana"/>
                <w:b w:val="0"/>
                <w:sz w:val="16"/>
              </w:rPr>
              <w:t>Número de identificación de subtrama SSMIS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0 25 055</w:t>
            </w:r>
          </w:p>
        </w:tc>
        <w:tc>
          <w:tcPr>
            <w:tcW w:type="dxa" w:w="1514"/>
          </w:tcPr>
          <w:p>
            <w:pPr>
              <w:spacing w:before="20" w:after="20"/>
            </w:pPr>
            <w:r/>
            <w:r>
              <w:rPr>
                <w:rFonts w:ascii="Verdana" w:hAnsi="Verdana"/>
                <w:b w:val="0"/>
                <w:sz w:val="16"/>
              </w:rPr>
              <w:t>Mantenimiento de multiplexor</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0 25 060</w:t>
            </w:r>
          </w:p>
        </w:tc>
        <w:tc>
          <w:tcPr>
            <w:tcW w:type="dxa" w:w="1514"/>
          </w:tcPr>
          <w:p>
            <w:pPr>
              <w:spacing w:before="20" w:after="20"/>
            </w:pPr>
            <w:r/>
            <w:r>
              <w:rPr>
                <w:rFonts w:ascii="Verdana" w:hAnsi="Verdana"/>
                <w:b w:val="0"/>
                <w:sz w:val="16"/>
              </w:rPr>
              <w:t>Identificación del software</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131: El significado real de esta cantidad puede obtenerse en el centro de origen de los datos.</w:t>
            </w:r>
          </w:p>
        </w:tc>
      </w:tr>
      <w:tr>
        <w:trPr>
          <w:cantSplit/>
        </w:trPr>
        <w:tc>
          <w:tcPr>
            <w:tcW w:type="dxa" w:w="1514"/>
          </w:tcPr>
          <w:p>
            <w:pPr>
              <w:spacing w:before="20" w:after="20"/>
            </w:pPr>
            <w:r/>
            <w:r>
              <w:rPr>
                <w:rFonts w:ascii="Verdana" w:hAnsi="Verdana"/>
                <w:b w:val="0"/>
                <w:sz w:val="16"/>
              </w:rPr>
              <w:t>0 25 061</w:t>
            </w:r>
          </w:p>
        </w:tc>
        <w:tc>
          <w:tcPr>
            <w:tcW w:type="dxa" w:w="1514"/>
          </w:tcPr>
          <w:p>
            <w:pPr>
              <w:spacing w:before="20" w:after="20"/>
            </w:pPr>
            <w:r/>
            <w:r>
              <w:rPr>
                <w:rFonts w:ascii="Verdana" w:hAnsi="Verdana"/>
                <w:b w:val="0"/>
                <w:sz w:val="16"/>
              </w:rPr>
              <w:t>Identificación y número de versión del software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96</w:t>
            </w:r>
          </w:p>
        </w:tc>
        <w:tc>
          <w:tcPr>
            <w:tcW w:type="dxa" w:w="1514"/>
          </w:tcPr>
          <w:p>
            <w:pPr>
              <w:spacing w:before="20" w:after="20"/>
            </w:pPr>
            <w:r/>
            <w:r>
              <w:rPr>
                <w:rFonts w:ascii="Verdana" w:hAnsi="Verdana"/>
                <w:sz w:val="16"/>
              </w:rPr>
              <w:t>Carácter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0 25 062</w:t>
            </w:r>
          </w:p>
        </w:tc>
        <w:tc>
          <w:tcPr>
            <w:tcW w:type="dxa" w:w="1514"/>
          </w:tcPr>
          <w:p>
            <w:pPr>
              <w:spacing w:before="20" w:after="20"/>
            </w:pPr>
            <w:r/>
            <w:r>
              <w:rPr>
                <w:rFonts w:ascii="Verdana" w:hAnsi="Verdana"/>
                <w:b w:val="0"/>
                <w:sz w:val="16"/>
              </w:rPr>
              <w:t>Identificación de la base de datos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0 25 063</w:t>
            </w:r>
          </w:p>
        </w:tc>
        <w:tc>
          <w:tcPr>
            <w:tcW w:type="dxa" w:w="1514"/>
          </w:tcPr>
          <w:p>
            <w:pPr>
              <w:spacing w:before="20" w:after="20"/>
            </w:pPr>
            <w:r/>
            <w:r>
              <w:rPr>
                <w:rFonts w:ascii="Verdana" w:hAnsi="Verdana"/>
                <w:b w:val="0"/>
                <w:sz w:val="16"/>
              </w:rPr>
              <w:t>Procesador central o identificador del sistema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71: La fecha y hora de lanzamiento se notificarán con el mayor grado de exactitud posible. Si no se dispone de la hora de lanzamiento con una exactitud de un segundo, la entrada para los segundos se fijará en cero.</w:t>
            </w:r>
          </w:p>
        </w:tc>
      </w:tr>
      <w:tr>
        <w:trPr>
          <w:cantSplit/>
        </w:trPr>
        <w:tc>
          <w:tcPr>
            <w:tcW w:type="dxa" w:w="1514"/>
          </w:tcPr>
          <w:p>
            <w:pPr>
              <w:spacing w:before="20" w:after="20"/>
            </w:pPr>
            <w:r/>
            <w:r>
              <w:rPr>
                <w:rFonts w:ascii="Verdana" w:hAnsi="Verdana"/>
                <w:b w:val="0"/>
                <w:sz w:val="16"/>
              </w:rPr>
              <w:t>0 25 065</w:t>
            </w:r>
          </w:p>
        </w:tc>
        <w:tc>
          <w:tcPr>
            <w:tcW w:type="dxa" w:w="1514"/>
          </w:tcPr>
          <w:p>
            <w:pPr>
              <w:spacing w:before="20" w:after="20"/>
            </w:pPr>
            <w:r/>
            <w:r>
              <w:rPr>
                <w:rFonts w:ascii="Verdana" w:hAnsi="Verdana"/>
                <w:b w:val="0"/>
                <w:sz w:val="16"/>
              </w:rPr>
              <w:t>Corrección de la orientación (azimut)</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0 25 066</w:t>
            </w:r>
          </w:p>
        </w:tc>
        <w:tc>
          <w:tcPr>
            <w:tcW w:type="dxa" w:w="1514"/>
          </w:tcPr>
          <w:p>
            <w:pPr>
              <w:spacing w:before="20" w:after="20"/>
            </w:pPr>
            <w:r/>
            <w:r>
              <w:rPr>
                <w:rFonts w:ascii="Verdana" w:hAnsi="Verdana"/>
                <w:b w:val="0"/>
                <w:sz w:val="16"/>
              </w:rPr>
              <w:t>Corrección de la orientación (elevación)</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0 25 067</w:t>
            </w:r>
          </w:p>
        </w:tc>
        <w:tc>
          <w:tcPr>
            <w:tcW w:type="dxa" w:w="1514"/>
          </w:tcPr>
          <w:p>
            <w:pPr>
              <w:spacing w:before="20" w:after="20"/>
            </w:pPr>
            <w:r/>
            <w:r>
              <w:rPr>
                <w:rFonts w:ascii="Verdana" w:hAnsi="Verdana"/>
                <w:b w:val="0"/>
                <w:sz w:val="16"/>
              </w:rPr>
              <w:t>Corrección de la presión del punto de lanzamiento de la radiosonda</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-8000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0 25 068</w:t>
            </w:r>
          </w:p>
        </w:tc>
        <w:tc>
          <w:tcPr>
            <w:tcW w:type="dxa" w:w="1514"/>
          </w:tcPr>
          <w:p>
            <w:pPr>
              <w:spacing w:before="20" w:after="20"/>
            </w:pPr>
            <w:r/>
            <w:r>
              <w:rPr>
                <w:rFonts w:ascii="Verdana" w:hAnsi="Verdana"/>
                <w:b w:val="0"/>
                <w:sz w:val="16"/>
              </w:rPr>
              <w:t>Número de recálculos de archivo</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0 25 069</w:t>
            </w:r>
          </w:p>
        </w:tc>
        <w:tc>
          <w:tcPr>
            <w:tcW w:type="dxa" w:w="1514"/>
          </w:tcPr>
          <w:p>
            <w:pPr>
              <w:spacing w:before="20" w:after="20"/>
            </w:pPr>
            <w:r/>
            <w:r>
              <w:rPr>
                <w:rFonts w:ascii="Verdana" w:hAnsi="Verdana"/>
                <w:b w:val="0"/>
                <w:sz w:val="16"/>
              </w:rPr>
              <w:t>Correcciones de la presión del nivel de vuelo</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0 25 070</w:t>
            </w:r>
          </w:p>
        </w:tc>
        <w:tc>
          <w:tcPr>
            <w:tcW w:type="dxa" w:w="1514"/>
          </w:tcPr>
          <w:p>
            <w:pPr>
              <w:spacing w:before="20" w:after="20"/>
            </w:pPr>
            <w:r/>
            <w:r>
              <w:rPr>
                <w:rFonts w:ascii="Verdana" w:hAnsi="Verdana"/>
                <w:b w:val="0"/>
                <w:sz w:val="16"/>
              </w:rPr>
              <w:t>Número de tramas principales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0 25 071</w:t>
            </w:r>
          </w:p>
        </w:tc>
        <w:tc>
          <w:tcPr>
            <w:tcW w:type="dxa" w:w="1514"/>
          </w:tcPr>
          <w:p>
            <w:pPr>
              <w:spacing w:before="20" w:after="20"/>
            </w:pPr>
            <w:r/>
            <w:r>
              <w:rPr>
                <w:rFonts w:ascii="Verdana" w:hAnsi="Verdana"/>
                <w:b w:val="0"/>
                <w:sz w:val="16"/>
              </w:rPr>
              <w:t>Número de tramas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0 25 075</w:t>
            </w:r>
          </w:p>
        </w:tc>
        <w:tc>
          <w:tcPr>
            <w:tcW w:type="dxa" w:w="1514"/>
          </w:tcPr>
          <w:p>
            <w:pPr>
              <w:spacing w:before="20" w:after="20"/>
            </w:pPr>
            <w:r/>
            <w:r>
              <w:rPr>
                <w:rFonts w:ascii="Verdana" w:hAnsi="Verdana"/>
                <w:b w:val="0"/>
                <w:sz w:val="16"/>
              </w:rPr>
              <w:t>Número de la versión de las correcciones a la antena del satélite</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0 25 076</w:t>
            </w:r>
          </w:p>
        </w:tc>
        <w:tc>
          <w:tcPr>
            <w:tcW w:type="dxa" w:w="1514"/>
          </w:tcPr>
          <w:p>
            <w:pPr>
              <w:spacing w:before="20" w:after="20"/>
            </w:pPr>
            <w:r/>
            <w:r>
              <w:rPr>
                <w:rFonts w:ascii="Verdana" w:hAnsi="Verdana"/>
                <w:b w:val="0"/>
                <w:sz w:val="16"/>
              </w:rPr>
              <w:t>Log-10 (del número de onda central de temperatura-radiancia) para ATOVS</w:t>
            </w:r>
          </w:p>
        </w:tc>
        <w:tc>
          <w:tcPr>
            <w:tcW w:type="dxa" w:w="1514"/>
          </w:tcPr>
          <w:p>
            <w:pPr>
              <w:spacing w:before="20" w:after="20"/>
            </w:pPr>
            <w:r/>
            <w:r>
              <w:rPr>
                <w:rFonts w:ascii="Verdana" w:hAnsi="Verdana"/>
                <w:sz w:val="16"/>
              </w:rPr>
              <w:t>log (m</w:t>
            </w:r>
            <w:r>
              <w:rPr>
                <w:rFonts w:ascii="Verdana" w:hAnsi="Verdana"/>
                <w:sz w:val="16"/>
                <w:vertAlign w:val="superscript"/>
              </w:rPr>
              <w:t>-1</w:t>
            </w:r>
            <w:r>
              <w:rPr>
                <w:rFonts w:ascii="Verdana" w:hAnsi="Verdana"/>
                <w:sz w:val="16"/>
              </w:rPr>
              <w:t>)</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sz w:val="16"/>
              </w:rPr>
              <w:t>log (m</w:t>
            </w:r>
            <w:r>
              <w:rPr>
                <w:rFonts w:ascii="Verdana" w:hAnsi="Verdana"/>
                <w:sz w:val="16"/>
                <w:vertAlign w:val="superscript"/>
              </w:rPr>
              <w:t>-1</w:t>
            </w:r>
            <w:r>
              <w:rPr>
                <w:rFonts w:ascii="Verdana" w:hAnsi="Verdana"/>
                <w:sz w:val="16"/>
              </w:rPr>
              <w:t>)</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0 25 077</w:t>
            </w:r>
          </w:p>
        </w:tc>
        <w:tc>
          <w:tcPr>
            <w:tcW w:type="dxa" w:w="1514"/>
          </w:tcPr>
          <w:p>
            <w:pPr>
              <w:spacing w:before="20" w:after="20"/>
            </w:pPr>
            <w:r/>
            <w:r>
              <w:rPr>
                <w:rFonts w:ascii="Verdana" w:hAnsi="Verdana"/>
                <w:b w:val="0"/>
                <w:sz w:val="16"/>
              </w:rPr>
              <w:t>Coeficiente 1 de corrección del ancho de banda</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-100000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0 25 078</w:t>
            </w:r>
          </w:p>
        </w:tc>
        <w:tc>
          <w:tcPr>
            <w:tcW w:type="dxa" w:w="1514"/>
          </w:tcPr>
          <w:p>
            <w:pPr>
              <w:spacing w:before="20" w:after="20"/>
            </w:pPr>
            <w:r/>
            <w:r>
              <w:rPr>
                <w:rFonts w:ascii="Verdana" w:hAnsi="Verdana"/>
                <w:b w:val="0"/>
                <w:sz w:val="16"/>
              </w:rPr>
              <w:t>Coeficiente 2 de corrección del ancho de banda</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0 25 079</w:t>
            </w:r>
          </w:p>
        </w:tc>
        <w:tc>
          <w:tcPr>
            <w:tcW w:type="dxa" w:w="1514"/>
          </w:tcPr>
          <w:p>
            <w:pPr>
              <w:spacing w:before="20" w:after="20"/>
            </w:pPr>
            <w:r/>
            <w:r>
              <w:rPr>
                <w:rFonts w:ascii="Verdana" w:hAnsi="Verdana"/>
                <w:b w:val="0"/>
                <w:sz w:val="16"/>
              </w:rPr>
              <w:t>Irradiancia solar filtrada de la radiancia del albedo para ATOVS</w:t>
            </w:r>
          </w:p>
        </w:tc>
        <w:tc>
          <w:tcPr>
            <w:tcW w:type="dxa" w:w="1514"/>
          </w:tcPr>
          <w:p>
            <w:pPr>
              <w:spacing w:before="20" w:after="20"/>
            </w:pPr>
            <w:r/>
            <w:r>
              <w:rPr>
                <w:rFonts w:ascii="Verdana" w:hAnsi="Verdana"/>
                <w:sz w:val="16"/>
              </w:rPr>
              <w:t>W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W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0 25 080</w:t>
            </w:r>
          </w:p>
        </w:tc>
        <w:tc>
          <w:tcPr>
            <w:tcW w:type="dxa" w:w="1514"/>
          </w:tcPr>
          <w:p>
            <w:pPr>
              <w:spacing w:before="20" w:after="20"/>
            </w:pPr>
            <w:r/>
            <w:r>
              <w:rPr>
                <w:rFonts w:ascii="Verdana" w:hAnsi="Verdana"/>
                <w:b w:val="0"/>
                <w:sz w:val="16"/>
              </w:rPr>
              <w:t>Anchura equivalente del filtro de la radiancia del albedo para ATOVS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0 25 081</w:t>
            </w:r>
          </w:p>
        </w:tc>
        <w:tc>
          <w:tcPr>
            <w:tcW w:type="dxa" w:w="1514"/>
          </w:tcPr>
          <w:p>
            <w:pPr>
              <w:spacing w:before="20" w:after="20"/>
            </w:pPr>
            <w:r/>
            <w:r>
              <w:rPr>
                <w:rFonts w:ascii="Verdana" w:hAnsi="Verdana"/>
                <w:b w:val="0"/>
                <w:sz w:val="16"/>
              </w:rPr>
              <w:t>Ángulo de incidencia</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0 25 082</w:t>
            </w:r>
          </w:p>
        </w:tc>
        <w:tc>
          <w:tcPr>
            <w:tcW w:type="dxa" w:w="1514"/>
          </w:tcPr>
          <w:p>
            <w:pPr>
              <w:spacing w:before="20" w:after="20"/>
            </w:pPr>
            <w:r/>
            <w:r>
              <w:rPr>
                <w:rFonts w:ascii="Verdana" w:hAnsi="Verdana"/>
                <w:b w:val="0"/>
                <w:sz w:val="16"/>
              </w:rPr>
              <w:t>Ángulo azimutal</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0 25 083</w:t>
            </w:r>
          </w:p>
        </w:tc>
        <w:tc>
          <w:tcPr>
            <w:tcW w:type="dxa" w:w="1514"/>
          </w:tcPr>
          <w:p>
            <w:pPr>
              <w:spacing w:before="20" w:after="20"/>
            </w:pPr>
            <w:r/>
            <w:r>
              <w:rPr>
                <w:rFonts w:ascii="Verdana" w:hAnsi="Verdana"/>
                <w:b w:val="0"/>
                <w:sz w:val="16"/>
              </w:rPr>
              <w:t>Ángulo rotacional de Faraday</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0 25 084</w:t>
            </w:r>
          </w:p>
        </w:tc>
        <w:tc>
          <w:tcPr>
            <w:tcW w:type="dxa" w:w="1514"/>
          </w:tcPr>
          <w:p>
            <w:pPr>
              <w:spacing w:before="20" w:after="20"/>
            </w:pPr>
            <w:r/>
            <w:r>
              <w:rPr>
                <w:rFonts w:ascii="Verdana" w:hAnsi="Verdana"/>
                <w:b w:val="0"/>
                <w:sz w:val="16"/>
              </w:rPr>
              <w:t>Ángulo rotacional geométrico</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26</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0 25 085</w:t>
            </w:r>
          </w:p>
        </w:tc>
        <w:tc>
          <w:tcPr>
            <w:tcW w:type="dxa" w:w="1514"/>
          </w:tcPr>
          <w:p>
            <w:pPr>
              <w:spacing w:before="20" w:after="20"/>
            </w:pPr>
            <w:r/>
            <w:r>
              <w:rPr>
                <w:rFonts w:ascii="Verdana" w:hAnsi="Verdana"/>
                <w:b w:val="0"/>
                <w:sz w:val="16"/>
              </w:rPr>
              <w:t>Fracción de píxeles claros en el campo de visión (FOV) de HIRS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0 25 086</w:t>
            </w:r>
          </w:p>
        </w:tc>
        <w:tc>
          <w:tcPr>
            <w:tcW w:type="dxa" w:w="1514"/>
          </w:tcPr>
          <w:p>
            <w:pPr>
              <w:spacing w:before="20" w:after="20"/>
            </w:pPr>
            <w:r/>
            <w:r>
              <w:rPr>
                <w:rFonts w:ascii="Verdana" w:hAnsi="Verdana"/>
                <w:b w:val="0"/>
                <w:sz w:val="16"/>
              </w:rPr>
              <w:t>Indicador de la corrección de la profundidad</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0 25 090</w:t>
            </w:r>
          </w:p>
        </w:tc>
        <w:tc>
          <w:tcPr>
            <w:tcW w:type="dxa" w:w="1514"/>
          </w:tcPr>
          <w:p>
            <w:pPr>
              <w:spacing w:before="20" w:after="20"/>
            </w:pPr>
            <w:r/>
            <w:r>
              <w:rPr>
                <w:rFonts w:ascii="Verdana" w:hAnsi="Verdana"/>
                <w:b w:val="0"/>
                <w:sz w:val="16"/>
              </w:rPr>
              <w:t>Banderín de estado orbital</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0 25 091</w:t>
            </w:r>
          </w:p>
        </w:tc>
        <w:tc>
          <w:tcPr>
            <w:tcW w:type="dxa" w:w="1514"/>
          </w:tcPr>
          <w:p>
            <w:pPr>
              <w:spacing w:before="20" w:after="20"/>
            </w:pPr>
            <w:r/>
            <w:r>
              <w:rPr>
                <w:rFonts w:ascii="Verdana" w:hAnsi="Verdana"/>
                <w:b w:val="0"/>
                <w:sz w:val="16"/>
              </w:rPr>
              <w:t>Constante estructural del índice de refracción (Cn²)</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-18192</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0 25 092</w:t>
            </w:r>
          </w:p>
        </w:tc>
        <w:tc>
          <w:tcPr>
            <w:tcW w:type="dxa" w:w="1514"/>
          </w:tcPr>
          <w:p>
            <w:pPr>
              <w:spacing w:before="20" w:after="20"/>
            </w:pPr>
            <w:r/>
            <w:r>
              <w:rPr>
                <w:rFonts w:ascii="Verdana" w:hAnsi="Verdana"/>
                <w:b w:val="0"/>
                <w:sz w:val="16"/>
              </w:rPr>
              <w:t>Velocidad de propagación acústica</w:t>
            </w:r>
          </w:p>
        </w:tc>
        <w:tc>
          <w:tcPr>
            <w:tcW w:type="dxa" w:w="1514"/>
          </w:tcPr>
          <w:p>
            <w:pPr>
              <w:spacing w:before="20" w:after="20"/>
            </w:pPr>
            <w:r/>
            <w:r>
              <w:rPr>
                <w:rFonts w:ascii="Verdana" w:hAnsi="Verdana"/>
                <w:sz w:val="16"/>
              </w:rPr>
              <w:t>m s</w:t>
            </w:r>
            <w:r>
              <w:rPr>
                <w:rFonts w:ascii="Verdana" w:hAnsi="Verdana"/>
                <w:sz w:val="16"/>
                <w:vertAlign w:val="superscript"/>
              </w:rPr>
              <w:t>-1</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28000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 s</w:t>
            </w:r>
            <w:r>
              <w:rPr>
                <w:rFonts w:ascii="Verdana" w:hAnsi="Verdana"/>
                <w:sz w:val="16"/>
                <w:vertAlign w:val="superscript"/>
              </w:rPr>
              <w:t>-1</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0 25 093</w:t>
            </w:r>
          </w:p>
        </w:tc>
        <w:tc>
          <w:tcPr>
            <w:tcW w:type="dxa" w:w="1514"/>
          </w:tcPr>
          <w:p>
            <w:pPr>
              <w:spacing w:before="20" w:after="20"/>
            </w:pPr>
            <w:r/>
            <w:r>
              <w:rPr>
                <w:rFonts w:ascii="Verdana" w:hAnsi="Verdana"/>
                <w:b w:val="0"/>
                <w:sz w:val="16"/>
              </w:rPr>
              <w:t>Corrección del cálculo RASS (sistema de sondeo radioacústico)</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0 25 095</w:t>
            </w:r>
          </w:p>
        </w:tc>
        <w:tc>
          <w:tcPr>
            <w:tcW w:type="dxa" w:w="1514"/>
          </w:tcPr>
          <w:p>
            <w:pPr>
              <w:spacing w:before="20" w:after="20"/>
            </w:pPr>
            <w:r/>
            <w:r>
              <w:rPr>
                <w:rFonts w:ascii="Verdana" w:hAnsi="Verdana"/>
                <w:b w:val="0"/>
                <w:sz w:val="16"/>
              </w:rPr>
              <w:t>Banderín de estado del altímetro</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0 25 096</w:t>
            </w:r>
          </w:p>
        </w:tc>
        <w:tc>
          <w:tcPr>
            <w:tcW w:type="dxa" w:w="1514"/>
          </w:tcPr>
          <w:p>
            <w:pPr>
              <w:spacing w:before="20" w:after="20"/>
            </w:pPr>
            <w:r/>
            <w:r>
              <w:rPr>
                <w:rFonts w:ascii="Verdana" w:hAnsi="Verdana"/>
                <w:b w:val="0"/>
                <w:sz w:val="16"/>
              </w:rPr>
              <w:t>Banderín de estado del radiómetro</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0 25 097</w:t>
            </w:r>
          </w:p>
        </w:tc>
        <w:tc>
          <w:tcPr>
            <w:tcW w:type="dxa" w:w="1514"/>
          </w:tcPr>
          <w:p>
            <w:pPr>
              <w:spacing w:before="20" w:after="20"/>
            </w:pPr>
            <w:r/>
            <w:r>
              <w:rPr>
                <w:rFonts w:ascii="Verdana" w:hAnsi="Verdana"/>
                <w:b w:val="0"/>
                <w:sz w:val="16"/>
              </w:rPr>
              <w:t>Estimación del error tridimensional de la órbita del navegador</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0 25 098</w:t>
            </w:r>
          </w:p>
        </w:tc>
        <w:tc>
          <w:tcPr>
            <w:tcW w:type="dxa" w:w="1514"/>
          </w:tcPr>
          <w:p>
            <w:pPr>
              <w:spacing w:before="20" w:after="20"/>
            </w:pPr>
            <w:r/>
            <w:r>
              <w:rPr>
                <w:rFonts w:ascii="Verdana" w:hAnsi="Verdana"/>
                <w:b w:val="0"/>
                <w:sz w:val="16"/>
              </w:rPr>
              <w:t>Banderín de calidad de los datos altimétricos</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0 25 099</w:t>
            </w:r>
          </w:p>
        </w:tc>
        <w:tc>
          <w:tcPr>
            <w:tcW w:type="dxa" w:w="1514"/>
          </w:tcPr>
          <w:p>
            <w:pPr>
              <w:spacing w:before="20" w:after="20"/>
            </w:pPr>
            <w:r/>
            <w:r>
              <w:rPr>
                <w:rFonts w:ascii="Verdana" w:hAnsi="Verdana"/>
                <w:b w:val="0"/>
                <w:sz w:val="16"/>
              </w:rPr>
              <w:t>Banderín de calidad de la corrección altimétrica</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0 25 100</w:t>
            </w:r>
          </w:p>
        </w:tc>
        <w:tc>
          <w:tcPr>
            <w:tcW w:type="dxa" w:w="1514"/>
          </w:tcPr>
          <w:p>
            <w:pPr>
              <w:spacing w:before="20" w:after="20"/>
            </w:pPr>
            <w:r/>
            <w:r>
              <w:rPr>
                <w:rFonts w:ascii="Verdana" w:hAnsi="Verdana"/>
                <w:b w:val="0"/>
                <w:sz w:val="16"/>
              </w:rPr>
              <w:t>Coeficiente a de la ecuación del índice de caída de los XBT/XCTD</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0 25 101</w:t>
            </w:r>
          </w:p>
        </w:tc>
        <w:tc>
          <w:tcPr>
            <w:tcW w:type="dxa" w:w="1514"/>
          </w:tcPr>
          <w:p>
            <w:pPr>
              <w:spacing w:before="20" w:after="20"/>
            </w:pPr>
            <w:r/>
            <w:r>
              <w:rPr>
                <w:rFonts w:ascii="Verdana" w:hAnsi="Verdana"/>
                <w:b w:val="0"/>
                <w:sz w:val="16"/>
              </w:rPr>
              <w:t>Coeficiente b de la ecuación del índice de caída de los XBT/XCTD</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-500000</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0 25 102</w:t>
            </w:r>
          </w:p>
        </w:tc>
        <w:tc>
          <w:tcPr>
            <w:tcW w:type="dxa" w:w="1514"/>
          </w:tcPr>
          <w:p>
            <w:pPr>
              <w:spacing w:before="20" w:after="20"/>
            </w:pPr>
            <w:r/>
            <w:r>
              <w:rPr>
                <w:rFonts w:ascii="Verdana" w:hAnsi="Verdana"/>
                <w:b w:val="0"/>
                <w:sz w:val="16"/>
              </w:rPr>
              <w:t>Número de líneas faltantes excluidas las lagunas de datos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0 25 103</w:t>
            </w:r>
          </w:p>
        </w:tc>
        <w:tc>
          <w:tcPr>
            <w:tcW w:type="dxa" w:w="1514"/>
          </w:tcPr>
          <w:p>
            <w:pPr>
              <w:spacing w:before="20" w:after="20"/>
            </w:pPr>
            <w:r/>
            <w:r>
              <w:rPr>
                <w:rFonts w:ascii="Verdana" w:hAnsi="Verdana"/>
                <w:b w:val="0"/>
                <w:sz w:val="16"/>
              </w:rPr>
              <w:t>Número de células direccionales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0 25 104</w:t>
            </w:r>
          </w:p>
        </w:tc>
        <w:tc>
          <w:tcPr>
            <w:tcW w:type="dxa" w:w="1514"/>
          </w:tcPr>
          <w:p>
            <w:pPr>
              <w:spacing w:before="20" w:after="20"/>
            </w:pPr>
            <w:r/>
            <w:r>
              <w:rPr>
                <w:rFonts w:ascii="Verdana" w:hAnsi="Verdana"/>
                <w:b w:val="0"/>
                <w:sz w:val="16"/>
              </w:rPr>
              <w:t>Número de células de longitud de onda</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0 25 105</w:t>
            </w:r>
          </w:p>
        </w:tc>
        <w:tc>
          <w:tcPr>
            <w:tcW w:type="dxa" w:w="1514"/>
          </w:tcPr>
          <w:p>
            <w:pPr>
              <w:spacing w:before="20" w:after="20"/>
            </w:pPr>
            <w:r/>
            <w:r>
              <w:rPr>
                <w:rFonts w:ascii="Verdana" w:hAnsi="Verdana"/>
                <w:b w:val="0"/>
                <w:sz w:val="16"/>
              </w:rPr>
              <w:t>Primera célula direccional</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0 25 106</w:t>
            </w:r>
          </w:p>
        </w:tc>
        <w:tc>
          <w:tcPr>
            <w:tcW w:type="dxa" w:w="1514"/>
          </w:tcPr>
          <w:p>
            <w:pPr>
              <w:spacing w:before="20" w:after="20"/>
            </w:pPr>
            <w:r/>
            <w:r>
              <w:rPr>
                <w:rFonts w:ascii="Verdana" w:hAnsi="Verdana"/>
                <w:b w:val="0"/>
                <w:sz w:val="16"/>
              </w:rPr>
              <w:t>Tramo de célula direccional</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0 25 107</w:t>
            </w:r>
          </w:p>
        </w:tc>
        <w:tc>
          <w:tcPr>
            <w:tcW w:type="dxa" w:w="1514"/>
          </w:tcPr>
          <w:p>
            <w:pPr>
              <w:spacing w:before="20" w:after="20"/>
            </w:pPr>
            <w:r/>
            <w:r>
              <w:rPr>
                <w:rFonts w:ascii="Verdana" w:hAnsi="Verdana"/>
                <w:b w:val="0"/>
                <w:sz w:val="16"/>
              </w:rPr>
              <w:t>Primera célula de longitud de onda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0 25 108</w:t>
            </w:r>
          </w:p>
        </w:tc>
        <w:tc>
          <w:tcPr>
            <w:tcW w:type="dxa" w:w="1514"/>
          </w:tcPr>
          <w:p>
            <w:pPr>
              <w:spacing w:before="20" w:after="20"/>
            </w:pPr>
            <w:r/>
            <w:r>
              <w:rPr>
                <w:rFonts w:ascii="Verdana" w:hAnsi="Verdana"/>
                <w:b w:val="0"/>
                <w:sz w:val="16"/>
              </w:rPr>
              <w:t>Última célula de longitud de onda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0 25 110</w:t>
            </w:r>
          </w:p>
        </w:tc>
        <w:tc>
          <w:tcPr>
            <w:tcW w:type="dxa" w:w="1514"/>
          </w:tcPr>
          <w:p>
            <w:pPr>
              <w:spacing w:before="20" w:after="20"/>
            </w:pPr>
            <w:r/>
            <w:r>
              <w:rPr>
                <w:rFonts w:ascii="Verdana" w:hAnsi="Verdana"/>
                <w:b w:val="0"/>
                <w:sz w:val="16"/>
              </w:rPr>
              <w:t>Resumen de proceso de imagen</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0 25 111</w:t>
            </w:r>
          </w:p>
        </w:tc>
        <w:tc>
          <w:tcPr>
            <w:tcW w:type="dxa" w:w="1514"/>
          </w:tcPr>
          <w:p>
            <w:pPr>
              <w:spacing w:before="20" w:after="20"/>
            </w:pPr>
            <w:r/>
            <w:r>
              <w:rPr>
                <w:rFonts w:ascii="Verdana" w:hAnsi="Verdana"/>
                <w:b w:val="0"/>
                <w:sz w:val="16"/>
              </w:rPr>
              <w:t>Número de lagunas de datos entrantes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0 25 112</w:t>
            </w:r>
          </w:p>
        </w:tc>
        <w:tc>
          <w:tcPr>
            <w:tcW w:type="dxa" w:w="1514"/>
          </w:tcPr>
          <w:p>
            <w:pPr>
              <w:spacing w:before="20" w:after="20"/>
            </w:pPr>
            <w:r/>
            <w:r>
              <w:rPr>
                <w:rFonts w:ascii="Verdana" w:hAnsi="Verdana"/>
                <w:b w:val="0"/>
                <w:sz w:val="16"/>
              </w:rPr>
              <w:t>Banderín de calidad de los datos altimétricos en banda específica</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0 25 113</w:t>
            </w:r>
          </w:p>
        </w:tc>
        <w:tc>
          <w:tcPr>
            <w:tcW w:type="dxa" w:w="1514"/>
          </w:tcPr>
          <w:p>
            <w:pPr>
              <w:spacing w:before="20" w:after="20"/>
            </w:pPr>
            <w:r/>
            <w:r>
              <w:rPr>
                <w:rFonts w:ascii="Verdana" w:hAnsi="Verdana"/>
                <w:b w:val="0"/>
                <w:sz w:val="16"/>
              </w:rPr>
              <w:t>Banderín de calidad de la corrección altimétrica en banda específica</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0 25 120</w:t>
            </w:r>
          </w:p>
        </w:tc>
        <w:tc>
          <w:tcPr>
            <w:tcW w:type="dxa" w:w="1514"/>
          </w:tcPr>
          <w:p>
            <w:pPr>
              <w:spacing w:before="20" w:after="20"/>
            </w:pPr>
            <w:r/>
            <w:r>
              <w:rPr>
                <w:rFonts w:ascii="Verdana" w:hAnsi="Verdana"/>
                <w:b w:val="0"/>
                <w:sz w:val="16"/>
              </w:rPr>
              <w:t>Banderín de proceso de nivel 2 - RA-2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0 25 121</w:t>
            </w:r>
          </w:p>
        </w:tc>
        <w:tc>
          <w:tcPr>
            <w:tcW w:type="dxa" w:w="1514"/>
          </w:tcPr>
          <w:p>
            <w:pPr>
              <w:spacing w:before="20" w:after="20"/>
            </w:pPr>
            <w:r/>
            <w:r>
              <w:rPr>
                <w:rFonts w:ascii="Verdana" w:hAnsi="Verdana"/>
                <w:b w:val="0"/>
                <w:sz w:val="16"/>
              </w:rPr>
              <w:t>Calidad de proceso de nivel 2 - RA-2</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0 25 122</w:t>
            </w:r>
          </w:p>
        </w:tc>
        <w:tc>
          <w:tcPr>
            <w:tcW w:type="dxa" w:w="1514"/>
          </w:tcPr>
          <w:p>
            <w:pPr>
              <w:spacing w:before="20" w:after="20"/>
            </w:pPr>
            <w:r/>
            <w:r>
              <w:rPr>
                <w:rFonts w:ascii="Verdana" w:hAnsi="Verdana"/>
                <w:b w:val="0"/>
                <w:sz w:val="16"/>
              </w:rPr>
              <w:t>Configuración del equipo informático para radiofrecuencia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0 25 123</w:t>
            </w:r>
          </w:p>
        </w:tc>
        <w:tc>
          <w:tcPr>
            <w:tcW w:type="dxa" w:w="1514"/>
          </w:tcPr>
          <w:p>
            <w:pPr>
              <w:spacing w:before="20" w:after="20"/>
            </w:pPr>
            <w:r/>
            <w:r>
              <w:rPr>
                <w:rFonts w:ascii="Verdana" w:hAnsi="Verdana"/>
                <w:b w:val="0"/>
                <w:sz w:val="16"/>
              </w:rPr>
              <w:t>Configuración del equipo informático para amplificador de gran potencia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0 25 124</w:t>
            </w:r>
          </w:p>
        </w:tc>
        <w:tc>
          <w:tcPr>
            <w:tcW w:type="dxa" w:w="1514"/>
          </w:tcPr>
          <w:p>
            <w:pPr>
              <w:spacing w:before="20" w:after="20"/>
            </w:pPr>
            <w:r/>
            <w:r>
              <w:rPr>
                <w:rFonts w:ascii="Verdana" w:hAnsi="Verdana"/>
                <w:b w:val="0"/>
                <w:sz w:val="16"/>
              </w:rPr>
              <w:t>Banderín de proceso de nivel 2 - MWR</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0 25 125</w:t>
            </w:r>
          </w:p>
        </w:tc>
        <w:tc>
          <w:tcPr>
            <w:tcW w:type="dxa" w:w="1514"/>
          </w:tcPr>
          <w:p>
            <w:pPr>
              <w:spacing w:before="20" w:after="20"/>
            </w:pPr>
            <w:r/>
            <w:r>
              <w:rPr>
                <w:rFonts w:ascii="Verdana" w:hAnsi="Verdana"/>
                <w:b w:val="0"/>
                <w:sz w:val="16"/>
              </w:rPr>
              <w:t>Calidad de proceso de nivel 2 – MWR</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0 25 126</w:t>
            </w:r>
          </w:p>
        </w:tc>
        <w:tc>
          <w:tcPr>
            <w:tcW w:type="dxa" w:w="1514"/>
          </w:tcPr>
          <w:p>
            <w:pPr>
              <w:spacing w:before="20" w:after="20"/>
            </w:pPr>
            <w:r/>
            <w:r>
              <w:rPr>
                <w:rFonts w:ascii="Verdana" w:hAnsi="Verdana"/>
                <w:b w:val="0"/>
                <w:sz w:val="16"/>
              </w:rPr>
              <w:t>Corrección troposférica seca según modelo</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0 25 127</w:t>
            </w:r>
          </w:p>
        </w:tc>
        <w:tc>
          <w:tcPr>
            <w:tcW w:type="dxa" w:w="1514"/>
          </w:tcPr>
          <w:p>
            <w:pPr>
              <w:spacing w:before="20" w:after="20"/>
            </w:pPr>
            <w:r/>
            <w:r>
              <w:rPr>
                <w:rFonts w:ascii="Verdana" w:hAnsi="Verdana"/>
                <w:b w:val="0"/>
                <w:sz w:val="16"/>
              </w:rPr>
              <w:t>Corrección de barómetro invertido</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0 25 128</w:t>
            </w:r>
          </w:p>
        </w:tc>
        <w:tc>
          <w:tcPr>
            <w:tcW w:type="dxa" w:w="1514"/>
          </w:tcPr>
          <w:p>
            <w:pPr>
              <w:spacing w:before="20" w:after="20"/>
            </w:pPr>
            <w:r/>
            <w:r>
              <w:rPr>
                <w:rFonts w:ascii="Verdana" w:hAnsi="Verdana"/>
                <w:b w:val="0"/>
                <w:sz w:val="16"/>
              </w:rPr>
              <w:t>Corrección troposférica húmeda según modelo</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0 25 129</w:t>
            </w:r>
          </w:p>
        </w:tc>
        <w:tc>
          <w:tcPr>
            <w:tcW w:type="dxa" w:w="1514"/>
          </w:tcPr>
          <w:p>
            <w:pPr>
              <w:spacing w:before="20" w:after="20"/>
            </w:pPr>
            <w:r/>
            <w:r>
              <w:rPr>
                <w:rFonts w:ascii="Verdana" w:hAnsi="Verdana"/>
                <w:b w:val="0"/>
                <w:sz w:val="16"/>
              </w:rPr>
              <w:t>Corrección troposférica húmeda obtenida de MWR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0 25 130</w:t>
            </w:r>
          </w:p>
        </w:tc>
        <w:tc>
          <w:tcPr>
            <w:tcW w:type="dxa" w:w="1514"/>
          </w:tcPr>
          <w:p>
            <w:pPr>
              <w:spacing w:before="20" w:after="20"/>
            </w:pPr>
            <w:r/>
            <w:r>
              <w:rPr>
                <w:rFonts w:ascii="Verdana" w:hAnsi="Verdana"/>
                <w:b w:val="0"/>
                <w:sz w:val="16"/>
              </w:rPr>
              <w:t>Corrección ionosférica obtenida de RA-2 en banda Ku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0 25 131</w:t>
            </w:r>
          </w:p>
        </w:tc>
        <w:tc>
          <w:tcPr>
            <w:tcW w:type="dxa" w:w="1514"/>
          </w:tcPr>
          <w:p>
            <w:pPr>
              <w:spacing w:before="20" w:after="20"/>
            </w:pPr>
            <w:r/>
            <w:r>
              <w:rPr>
                <w:rFonts w:ascii="Verdana" w:hAnsi="Verdana"/>
                <w:b w:val="0"/>
                <w:sz w:val="16"/>
              </w:rPr>
              <w:t>Corrección ionosférica obtenida de Doris en banda Ku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0 25 132</w:t>
            </w:r>
          </w:p>
        </w:tc>
        <w:tc>
          <w:tcPr>
            <w:tcW w:type="dxa" w:w="1514"/>
          </w:tcPr>
          <w:p>
            <w:pPr>
              <w:spacing w:before="20" w:after="20"/>
            </w:pPr>
            <w:r/>
            <w:r>
              <w:rPr>
                <w:rFonts w:ascii="Verdana" w:hAnsi="Verdana"/>
                <w:b w:val="0"/>
                <w:sz w:val="16"/>
              </w:rPr>
              <w:t>Corrección ionosférica en banda Ku según modelo</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0 25 133</w:t>
            </w:r>
          </w:p>
        </w:tc>
        <w:tc>
          <w:tcPr>
            <w:tcW w:type="dxa" w:w="1514"/>
          </w:tcPr>
          <w:p>
            <w:pPr>
              <w:spacing w:before="20" w:after="20"/>
            </w:pPr>
            <w:r/>
            <w:r>
              <w:rPr>
                <w:rFonts w:ascii="Verdana" w:hAnsi="Verdana"/>
                <w:b w:val="0"/>
                <w:sz w:val="16"/>
              </w:rPr>
              <w:t>Corrección del error sistemático sobre el estado del mar en banda Ku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0 25 134</w:t>
            </w:r>
          </w:p>
        </w:tc>
        <w:tc>
          <w:tcPr>
            <w:tcW w:type="dxa" w:w="1514"/>
          </w:tcPr>
          <w:p>
            <w:pPr>
              <w:spacing w:before="20" w:after="20"/>
            </w:pPr>
            <w:r/>
            <w:r>
              <w:rPr>
                <w:rFonts w:ascii="Verdana" w:hAnsi="Verdana"/>
                <w:b w:val="0"/>
                <w:sz w:val="16"/>
              </w:rPr>
              <w:t>Corrección ionosférica obtenida de RA-2 en banda 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0 25 135</w:t>
            </w:r>
          </w:p>
        </w:tc>
        <w:tc>
          <w:tcPr>
            <w:tcW w:type="dxa" w:w="1514"/>
          </w:tcPr>
          <w:p>
            <w:pPr>
              <w:spacing w:before="20" w:after="20"/>
            </w:pPr>
            <w:r/>
            <w:r>
              <w:rPr>
                <w:rFonts w:ascii="Verdana" w:hAnsi="Verdana"/>
                <w:b w:val="0"/>
                <w:sz w:val="16"/>
              </w:rPr>
              <w:t>Corrección ionosférica obtenida de Doris en banda 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0 25 136</w:t>
            </w:r>
          </w:p>
        </w:tc>
        <w:tc>
          <w:tcPr>
            <w:tcW w:type="dxa" w:w="1514"/>
          </w:tcPr>
          <w:p>
            <w:pPr>
              <w:spacing w:before="20" w:after="20"/>
            </w:pPr>
            <w:r/>
            <w:r>
              <w:rPr>
                <w:rFonts w:ascii="Verdana" w:hAnsi="Verdana"/>
                <w:b w:val="0"/>
                <w:sz w:val="16"/>
              </w:rPr>
              <w:t>Corrección ionosférica en banda S según modelo</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0 25 137</w:t>
            </w:r>
          </w:p>
        </w:tc>
        <w:tc>
          <w:tcPr>
            <w:tcW w:type="dxa" w:w="1514"/>
          </w:tcPr>
          <w:p>
            <w:pPr>
              <w:spacing w:before="20" w:after="20"/>
            </w:pPr>
            <w:r/>
            <w:r>
              <w:rPr>
                <w:rFonts w:ascii="Verdana" w:hAnsi="Verdana"/>
                <w:b w:val="0"/>
                <w:sz w:val="16"/>
              </w:rPr>
              <w:t>Corrección del error sistemático sobre el estado del mar en banda 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0 25 138</w:t>
            </w:r>
          </w:p>
        </w:tc>
        <w:tc>
          <w:tcPr>
            <w:tcW w:type="dxa" w:w="1514"/>
          </w:tcPr>
          <w:p>
            <w:pPr>
              <w:spacing w:before="20" w:after="20"/>
            </w:pPr>
            <w:r/>
            <w:r>
              <w:rPr>
                <w:rFonts w:ascii="Verdana" w:hAnsi="Verdana"/>
                <w:b w:val="0"/>
                <w:sz w:val="16"/>
              </w:rPr>
              <w:t>Relación señal-ruido, promedio</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-2048</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0 25 140</w:t>
            </w:r>
          </w:p>
        </w:tc>
        <w:tc>
          <w:tcPr>
            <w:tcW w:type="dxa" w:w="1514"/>
          </w:tcPr>
          <w:p>
            <w:pPr>
              <w:spacing w:before="20" w:after="20"/>
            </w:pPr>
            <w:r/>
            <w:r>
              <w:rPr>
                <w:rFonts w:ascii="Verdana" w:hAnsi="Verdana"/>
                <w:b w:val="0"/>
                <w:sz w:val="16"/>
              </w:rPr>
              <w:t>Canal de comienzo</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0 25 141</w:t>
            </w:r>
          </w:p>
        </w:tc>
        <w:tc>
          <w:tcPr>
            <w:tcW w:type="dxa" w:w="1514"/>
          </w:tcPr>
          <w:p>
            <w:pPr>
              <w:spacing w:before="20" w:after="20"/>
            </w:pPr>
            <w:r/>
            <w:r>
              <w:rPr>
                <w:rFonts w:ascii="Verdana" w:hAnsi="Verdana"/>
                <w:b w:val="0"/>
                <w:sz w:val="16"/>
              </w:rPr>
              <w:t>Canal de terminación</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0 25 142</w:t>
            </w:r>
          </w:p>
        </w:tc>
        <w:tc>
          <w:tcPr>
            <w:tcW w:type="dxa" w:w="1514"/>
          </w:tcPr>
          <w:p>
            <w:pPr>
              <w:spacing w:before="20" w:after="20"/>
            </w:pPr>
            <w:r/>
            <w:r>
              <w:rPr>
                <w:rFonts w:ascii="Verdana" w:hAnsi="Verdana"/>
                <w:b w:val="0"/>
                <w:sz w:val="16"/>
              </w:rPr>
              <w:t>Factor de escala del canal</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0 25 143</w:t>
            </w:r>
          </w:p>
        </w:tc>
        <w:tc>
          <w:tcPr>
            <w:tcW w:type="dxa" w:w="1514"/>
          </w:tcPr>
          <w:p>
            <w:pPr>
              <w:spacing w:before="20" w:after="20"/>
            </w:pPr>
            <w:r/>
            <w:r>
              <w:rPr>
                <w:rFonts w:ascii="Verdana" w:hAnsi="Verdana"/>
                <w:b w:val="0"/>
                <w:sz w:val="16"/>
              </w:rPr>
              <w:t>Coeficiente lineal</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-5000000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Note 57: La señal de llamada del buque o el identificador de la OMM deberían notificarse mediante el descriptor 0 01 011.</w:t>
            </w:r>
          </w:p>
        </w:tc>
      </w:tr>
      <w:tr>
        <w:trPr>
          <w:cantSplit/>
        </w:trPr>
        <w:tc>
          <w:tcPr>
            <w:tcW w:type="dxa" w:w="1514"/>
          </w:tcPr>
          <w:p>
            <w:pPr>
              <w:spacing w:before="20" w:after="20"/>
            </w:pPr>
            <w:r/>
            <w:r>
              <w:rPr>
                <w:rFonts w:ascii="Verdana" w:hAnsi="Verdana"/>
                <w:b w:val="0"/>
                <w:sz w:val="16"/>
              </w:rPr>
              <w:t>0 25 148</w:t>
            </w:r>
          </w:p>
        </w:tc>
        <w:tc>
          <w:tcPr>
            <w:tcW w:type="dxa" w:w="1514"/>
          </w:tcPr>
          <w:p>
            <w:pPr>
              <w:spacing w:before="20" w:after="20"/>
            </w:pPr>
            <w:r/>
            <w:r>
              <w:rPr>
                <w:rFonts w:ascii="Verdana" w:hAnsi="Verdana"/>
                <w:b w:val="0"/>
                <w:sz w:val="16"/>
              </w:rPr>
              <w:t>Coeficiente de variación</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0 25 149</w:t>
            </w:r>
          </w:p>
        </w:tc>
        <w:tc>
          <w:tcPr>
            <w:tcW w:type="dxa" w:w="1514"/>
          </w:tcPr>
          <w:p>
            <w:pPr>
              <w:spacing w:before="20" w:after="20"/>
            </w:pPr>
            <w:r/>
            <w:r>
              <w:rPr>
                <w:rFonts w:ascii="Verdana" w:hAnsi="Verdana"/>
                <w:b w:val="0"/>
                <w:sz w:val="16"/>
              </w:rPr>
              <w:t>Estimación óptima de costo</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0 25 150</w:t>
            </w:r>
          </w:p>
        </w:tc>
        <w:tc>
          <w:tcPr>
            <w:tcW w:type="dxa" w:w="1514"/>
          </w:tcPr>
          <w:p>
            <w:pPr>
              <w:spacing w:before="20" w:after="20"/>
            </w:pPr>
            <w:r/>
            <w:r>
              <w:rPr>
                <w:rFonts w:ascii="Verdana" w:hAnsi="Verdana"/>
                <w:b w:val="0"/>
                <w:sz w:val="16"/>
              </w:rPr>
              <w:t>Método de análisis de la intensidad de los ciclones tropicales a partir de datos obtenidos por satélites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0 25 160</w:t>
            </w:r>
          </w:p>
        </w:tc>
        <w:tc>
          <w:tcPr>
            <w:tcW w:type="dxa" w:w="1514"/>
          </w:tcPr>
          <w:p>
            <w:pPr>
              <w:spacing w:before="20" w:after="20"/>
            </w:pPr>
            <w:r/>
            <w:r>
              <w:rPr>
                <w:rFonts w:ascii="Verdana" w:hAnsi="Verdana"/>
                <w:b w:val="0"/>
                <w:sz w:val="16"/>
              </w:rPr>
              <w:t>Corrección instrumental neta en banda Ku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-120000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0 25 161</w:t>
            </w:r>
          </w:p>
        </w:tc>
        <w:tc>
          <w:tcPr>
            <w:tcW w:type="dxa" w:w="1514"/>
          </w:tcPr>
          <w:p>
            <w:pPr>
              <w:spacing w:before="20" w:after="20"/>
            </w:pPr>
            <w:r/>
            <w:r>
              <w:rPr>
                <w:rFonts w:ascii="Verdana" w:hAnsi="Verdana"/>
                <w:b w:val="0"/>
                <w:sz w:val="16"/>
              </w:rPr>
              <w:t>Corrección instrumental neta en banda C</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-120000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0 25 162</w:t>
            </w:r>
          </w:p>
        </w:tc>
        <w:tc>
          <w:tcPr>
            <w:tcW w:type="dxa" w:w="1514"/>
          </w:tcPr>
          <w:p>
            <w:pPr>
              <w:spacing w:before="20" w:after="20"/>
            </w:pPr>
            <w:r/>
            <w:r>
              <w:rPr>
                <w:rFonts w:ascii="Verdana" w:hAnsi="Verdana"/>
                <w:b w:val="0"/>
                <w:sz w:val="16"/>
              </w:rPr>
              <w:t>Corrección del error sistemático sobre el estado del mar en banda C</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-6000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0 25 163</w:t>
            </w:r>
          </w:p>
        </w:tc>
        <w:tc>
          <w:tcPr>
            <w:tcW w:type="dxa" w:w="1514"/>
          </w:tcPr>
          <w:p>
            <w:pPr>
              <w:spacing w:before="20" w:after="20"/>
            </w:pPr>
            <w:r/>
            <w:r>
              <w:rPr>
                <w:rFonts w:ascii="Verdana" w:hAnsi="Verdana"/>
                <w:b w:val="0"/>
                <w:sz w:val="16"/>
              </w:rPr>
              <w:t>Corrección ionosférica altimétrica en banda Ku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0 25 164</w:t>
            </w:r>
          </w:p>
        </w:tc>
        <w:tc>
          <w:tcPr>
            <w:tcW w:type="dxa" w:w="1514"/>
          </w:tcPr>
          <w:p>
            <w:pPr>
              <w:spacing w:before="20" w:after="20"/>
            </w:pPr>
            <w:r/>
            <w:r>
              <w:rPr>
                <w:rFonts w:ascii="Verdana" w:hAnsi="Verdana"/>
                <w:b w:val="0"/>
                <w:sz w:val="16"/>
              </w:rPr>
              <w:t>Corrección troposférica húmeda del radiómetro</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-5000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0 25 165</w:t>
            </w:r>
          </w:p>
        </w:tc>
        <w:tc>
          <w:tcPr>
            <w:tcW w:type="dxa" w:w="1514"/>
          </w:tcPr>
          <w:p>
            <w:pPr>
              <w:spacing w:before="20" w:after="20"/>
            </w:pPr>
            <w:r/>
            <w:r>
              <w:rPr>
                <w:rFonts w:ascii="Verdana" w:hAnsi="Verdana"/>
                <w:b w:val="0"/>
                <w:sz w:val="16"/>
              </w:rPr>
              <w:t>Corrección ionosférica según modelo en banda específica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0 25 166</w:t>
            </w:r>
          </w:p>
        </w:tc>
        <w:tc>
          <w:tcPr>
            <w:tcW w:type="dxa" w:w="1514"/>
          </w:tcPr>
          <w:p>
            <w:pPr>
              <w:spacing w:before="20" w:after="20"/>
            </w:pPr>
            <w:r/>
            <w:r>
              <w:rPr>
                <w:rFonts w:ascii="Verdana" w:hAnsi="Verdana"/>
                <w:b w:val="0"/>
                <w:sz w:val="16"/>
              </w:rPr>
              <w:t>Corrección del error sistemático sobre el estado del mar en banda específica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0 25 167</w:t>
            </w:r>
          </w:p>
        </w:tc>
        <w:tc>
          <w:tcPr>
            <w:tcW w:type="dxa" w:w="1514"/>
          </w:tcPr>
          <w:p>
            <w:pPr>
              <w:spacing w:before="20" w:after="20"/>
            </w:pPr>
            <w:r/>
            <w:r>
              <w:rPr>
                <w:rFonts w:ascii="Verdana" w:hAnsi="Verdana"/>
                <w:b w:val="0"/>
                <w:sz w:val="16"/>
              </w:rPr>
              <w:t>Corrección instrumental neta en banda específica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-120000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0 25 170</w:t>
            </w:r>
          </w:p>
        </w:tc>
        <w:tc>
          <w:tcPr>
            <w:tcW w:type="dxa" w:w="1514"/>
          </w:tcPr>
          <w:p>
            <w:pPr>
              <w:spacing w:before="20" w:after="20"/>
            </w:pPr>
            <w:r/>
            <w:r>
              <w:rPr>
                <w:rFonts w:ascii="Verdana" w:hAnsi="Verdana"/>
                <w:b w:val="0"/>
                <w:sz w:val="16"/>
              </w:rPr>
              <w:t>Intervalo de muestreo (tiempo)</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0 25 171</w:t>
            </w:r>
          </w:p>
        </w:tc>
        <w:tc>
          <w:tcPr>
            <w:tcW w:type="dxa" w:w="1514"/>
          </w:tcPr>
          <w:p>
            <w:pPr>
              <w:spacing w:before="20" w:after="20"/>
            </w:pPr>
            <w:r/>
            <w:r>
              <w:rPr>
                <w:rFonts w:ascii="Verdana" w:hAnsi="Verdana"/>
                <w:b w:val="0"/>
                <w:sz w:val="16"/>
              </w:rPr>
              <w:t>Período de promediación de las muestras</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0 25 172</w:t>
            </w:r>
          </w:p>
        </w:tc>
        <w:tc>
          <w:tcPr>
            <w:tcW w:type="dxa" w:w="1514"/>
          </w:tcPr>
          <w:p>
            <w:pPr>
              <w:spacing w:before="20" w:after="20"/>
            </w:pPr>
            <w:r/>
            <w:r>
              <w:rPr>
                <w:rFonts w:ascii="Verdana" w:hAnsi="Verdana"/>
                <w:b w:val="0"/>
                <w:sz w:val="16"/>
              </w:rPr>
              <w:t>Número de muestras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0 25 174</w:t>
            </w:r>
          </w:p>
        </w:tc>
        <w:tc>
          <w:tcPr>
            <w:tcW w:type="dxa" w:w="1514"/>
          </w:tcPr>
          <w:p>
            <w:pPr>
              <w:spacing w:before="20" w:after="20"/>
            </w:pPr>
            <w:r/>
            <w:r>
              <w:rPr>
                <w:rFonts w:ascii="Verdana" w:hAnsi="Verdana"/>
                <w:b w:val="0"/>
                <w:sz w:val="16"/>
              </w:rPr>
              <w:t>Banderín de información de SMOS</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0 25 175</w:t>
            </w:r>
          </w:p>
        </w:tc>
        <w:tc>
          <w:tcPr>
            <w:tcW w:type="dxa" w:w="1514"/>
          </w:tcPr>
          <w:p>
            <w:pPr>
              <w:spacing w:before="20" w:after="20"/>
            </w:pPr>
            <w:r/>
            <w:r>
              <w:rPr>
                <w:rFonts w:ascii="Verdana" w:hAnsi="Verdana"/>
                <w:b w:val="0"/>
                <w:sz w:val="16"/>
              </w:rPr>
              <w:t>Residuo modificado</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103: Residuo modificado calculado a partir del lugar de los sensores y la relación señal/ruido del relámpago. I.2 – BUFR/CREX Tabla B/25 – 10</w:t>
            </w:r>
          </w:p>
        </w:tc>
      </w:tr>
      <w:tr>
        <w:trPr>
          <w:cantSplit/>
        </w:trPr>
        <w:tc>
          <w:tcPr>
            <w:tcW w:type="dxa" w:w="1514"/>
          </w:tcPr>
          <w:p>
            <w:pPr>
              <w:spacing w:before="20" w:after="20"/>
            </w:pPr>
            <w:r/>
            <w:r>
              <w:rPr>
                <w:rFonts w:ascii="Verdana" w:hAnsi="Verdana"/>
                <w:b w:val="0"/>
                <w:sz w:val="16"/>
              </w:rPr>
              <w:t>0 25 180</w:t>
            </w:r>
          </w:p>
        </w:tc>
        <w:tc>
          <w:tcPr>
            <w:tcW w:type="dxa" w:w="1514"/>
          </w:tcPr>
          <w:p>
            <w:pPr>
              <w:spacing w:before="20" w:after="20"/>
            </w:pPr>
            <w:r/>
            <w:r>
              <w:rPr>
                <w:rFonts w:ascii="Verdana" w:hAnsi="Verdana"/>
                <w:b w:val="0"/>
                <w:sz w:val="16"/>
              </w:rPr>
              <w:t>Porcentaje LRM*</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0 25 181</w:t>
            </w:r>
          </w:p>
        </w:tc>
        <w:tc>
          <w:tcPr>
            <w:tcW w:type="dxa" w:w="1514"/>
          </w:tcPr>
          <w:p>
            <w:pPr>
              <w:spacing w:before="20" w:after="20"/>
            </w:pPr>
            <w:r/>
            <w:r>
              <w:rPr>
                <w:rFonts w:ascii="Verdana" w:hAnsi="Verdana"/>
                <w:b w:val="0"/>
                <w:sz w:val="16"/>
              </w:rPr>
              <w:t>Banderín de procesamiento de nivel 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0 25 182</w:t>
            </w:r>
          </w:p>
        </w:tc>
        <w:tc>
          <w:tcPr>
            <w:tcW w:type="dxa" w:w="1514"/>
          </w:tcPr>
          <w:p>
            <w:pPr>
              <w:spacing w:before="20" w:after="20"/>
            </w:pPr>
            <w:r/>
            <w:r>
              <w:rPr>
                <w:rFonts w:ascii="Verdana" w:hAnsi="Verdana"/>
                <w:b w:val="0"/>
                <w:sz w:val="16"/>
              </w:rPr>
              <w:t>Banderín de procesamiento de nivel 1</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0 25 183</w:t>
            </w:r>
          </w:p>
        </w:tc>
        <w:tc>
          <w:tcPr>
            <w:tcW w:type="dxa" w:w="1514"/>
          </w:tcPr>
          <w:p>
            <w:pPr>
              <w:spacing w:before="20" w:after="20"/>
            </w:pPr>
            <w:r/>
            <w:r>
              <w:rPr>
                <w:rFonts w:ascii="Verdana" w:hAnsi="Verdana"/>
                <w:b w:val="0"/>
                <w:sz w:val="16"/>
              </w:rPr>
              <w:t>Calidad de procesamiento de nivel 1</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0 25 184</w:t>
            </w:r>
          </w:p>
        </w:tc>
        <w:tc>
          <w:tcPr>
            <w:tcW w:type="dxa" w:w="1514"/>
          </w:tcPr>
          <w:p>
            <w:pPr>
              <w:spacing w:before="20" w:after="20"/>
            </w:pPr>
            <w:r/>
            <w:r>
              <w:rPr>
                <w:rFonts w:ascii="Verdana" w:hAnsi="Verdana"/>
                <w:b w:val="0"/>
                <w:sz w:val="16"/>
              </w:rPr>
              <w:t>Estado del producto de nivel 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0 25 185</w:t>
            </w:r>
          </w:p>
        </w:tc>
        <w:tc>
          <w:tcPr>
            <w:tcW w:type="dxa" w:w="1514"/>
          </w:tcPr>
          <w:p>
            <w:pPr>
              <w:spacing w:before="20" w:after="20"/>
            </w:pPr>
            <w:r/>
            <w:r>
              <w:rPr>
                <w:rFonts w:ascii="Verdana" w:hAnsi="Verdana"/>
                <w:b w:val="0"/>
                <w:sz w:val="16"/>
              </w:rPr>
              <w:t>Método de encriptación</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0 25 186</w:t>
            </w:r>
          </w:p>
        </w:tc>
        <w:tc>
          <w:tcPr>
            <w:tcW w:type="dxa" w:w="1514"/>
          </w:tcPr>
          <w:p>
            <w:pPr>
              <w:spacing w:before="20" w:after="20"/>
            </w:pPr>
            <w:r/>
            <w:r>
              <w:rPr>
                <w:rFonts w:ascii="Verdana" w:hAnsi="Verdana"/>
                <w:b w:val="0"/>
                <w:sz w:val="16"/>
              </w:rPr>
              <w:t>Versión de la clave de encriptación</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96</w:t>
            </w:r>
          </w:p>
        </w:tc>
        <w:tc>
          <w:tcPr>
            <w:tcW w:type="dxa" w:w="1514"/>
          </w:tcPr>
          <w:p>
            <w:pPr>
              <w:spacing w:before="20" w:after="20"/>
            </w:pPr>
            <w:r/>
            <w:r>
              <w:rPr>
                <w:rFonts w:ascii="Verdana" w:hAnsi="Verdana"/>
                <w:sz w:val="16"/>
              </w:rPr>
              <w:t>Carácter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0 25 187</w:t>
            </w:r>
          </w:p>
        </w:tc>
        <w:tc>
          <w:tcPr>
            <w:tcW w:type="dxa" w:w="1514"/>
          </w:tcPr>
          <w:p>
            <w:pPr>
              <w:spacing w:before="20" w:after="20"/>
            </w:pPr>
            <w:r/>
            <w:r>
              <w:rPr>
                <w:rFonts w:ascii="Verdana" w:hAnsi="Verdana"/>
                <w:b w:val="0"/>
                <w:sz w:val="16"/>
              </w:rPr>
              <w:t>Banderín de confianza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0 25 188</w:t>
            </w:r>
          </w:p>
        </w:tc>
        <w:tc>
          <w:tcPr>
            <w:tcW w:type="dxa" w:w="1514"/>
          </w:tcPr>
          <w:p>
            <w:pPr>
              <w:spacing w:before="20" w:after="20"/>
            </w:pPr>
            <w:r/>
            <w:r>
              <w:rPr>
                <w:rFonts w:ascii="Verdana" w:hAnsi="Verdana"/>
                <w:b w:val="0"/>
                <w:sz w:val="16"/>
              </w:rPr>
              <w:t>Método para reducir la presión al nivel del mar</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0 25 189</w:t>
            </w:r>
          </w:p>
        </w:tc>
        <w:tc>
          <w:tcPr>
            <w:tcW w:type="dxa" w:w="1514"/>
          </w:tcPr>
          <w:p>
            <w:pPr>
              <w:spacing w:before="20" w:after="20"/>
            </w:pPr>
            <w:r/>
            <w:r>
              <w:rPr>
                <w:rFonts w:ascii="Verdana" w:hAnsi="Verdana"/>
                <w:b w:val="0"/>
                <w:sz w:val="16"/>
              </w:rPr>
              <w:t>Rango de longitudes de onda permitidas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0 25 190</w:t>
            </w:r>
          </w:p>
        </w:tc>
        <w:tc>
          <w:tcPr>
            <w:tcW w:type="dxa" w:w="1514"/>
          </w:tcPr>
          <w:p>
            <w:pPr>
              <w:spacing w:before="20" w:after="20"/>
            </w:pPr>
            <w:r/>
            <w:r>
              <w:rPr>
                <w:rFonts w:ascii="Verdana" w:hAnsi="Verdana"/>
                <w:b w:val="0"/>
                <w:sz w:val="16"/>
              </w:rPr>
              <w:t>Modo de cálculo del eco del altímetro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0 25 191</w:t>
            </w:r>
          </w:p>
        </w:tc>
        <w:tc>
          <w:tcPr>
            <w:tcW w:type="dxa" w:w="1514"/>
          </w:tcPr>
          <w:p>
            <w:pPr>
              <w:spacing w:before="20" w:after="20"/>
            </w:pPr>
            <w:r/>
            <w:r>
              <w:rPr>
                <w:rFonts w:ascii="Verdana" w:hAnsi="Verdana"/>
                <w:b w:val="0"/>
                <w:sz w:val="16"/>
              </w:rPr>
              <w:t>Modo de seguimiento del altímetro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