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10 : Position d'éléments autres que des coordonnées (verticale)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0 10 001</w:t>
            </w:r>
          </w:p>
        </w:tc>
        <w:tc>
          <w:tcPr>
            <w:tcW w:type="dxa" w:w="1514"/>
          </w:tcPr>
          <w:p>
            <w:pPr>
              <w:spacing w:before="20" w:after="20"/>
            </w:pPr>
            <w:r/>
            <w:r>
              <w:rPr>
                <w:rFonts w:ascii="Verdana" w:hAnsi="Verdana"/>
                <w:b w:val="0"/>
                <w:sz w:val="16"/>
              </w:rPr>
              <w:t>Hauteur de la surface terrestre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0 10 002</w:t>
            </w:r>
          </w:p>
        </w:tc>
        <w:tc>
          <w:tcPr>
            <w:tcW w:type="dxa" w:w="1514"/>
          </w:tcPr>
          <w:p>
            <w:pPr>
              <w:spacing w:before="20" w:after="20"/>
            </w:pPr>
            <w:r/>
            <w:r>
              <w:rPr>
                <w:rFonts w:ascii="Verdana" w:hAnsi="Verdana"/>
                <w:b w:val="0"/>
                <w:sz w:val="16"/>
              </w:rPr>
              <w:t>Hauteur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0 10 003</w:t>
            </w:r>
          </w:p>
        </w:tc>
        <w:tc>
          <w:tcPr>
            <w:tcW w:type="dxa" w:w="1514"/>
          </w:tcPr>
          <w:p>
            <w:pPr>
              <w:spacing w:before="20" w:after="20"/>
            </w:pPr>
            <w:r/>
            <w:r>
              <w:rPr>
                <w:rFonts w:ascii="Verdana" w:hAnsi="Verdana"/>
                <w:b w:val="0"/>
                <w:sz w:val="16"/>
              </w:rPr>
              <w:t>Géopotentiel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0 10 004</w:t>
            </w:r>
          </w:p>
        </w:tc>
        <w:tc>
          <w:tcPr>
            <w:tcW w:type="dxa" w:w="1514"/>
          </w:tcPr>
          <w:p>
            <w:pPr>
              <w:spacing w:before="20" w:after="20"/>
            </w:pPr>
            <w:r/>
            <w:r>
              <w:rPr>
                <w:rFonts w:ascii="Verdana" w:hAnsi="Verdana"/>
                <w:b w:val="0"/>
                <w:sz w:val="16"/>
              </w:rPr>
              <w:t>Pression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0 10 007</w:t>
            </w:r>
          </w:p>
        </w:tc>
        <w:tc>
          <w:tcPr>
            <w:tcW w:type="dxa" w:w="1514"/>
          </w:tcPr>
          <w:p>
            <w:pPr>
              <w:spacing w:before="20" w:after="20"/>
            </w:pPr>
            <w:r/>
            <w:r>
              <w:rPr>
                <w:rFonts w:ascii="Verdana" w:hAnsi="Verdana"/>
                <w:b w:val="0"/>
                <w:sz w:val="16"/>
              </w:rPr>
              <w:t>Hauteur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0 10 008</w:t>
            </w:r>
          </w:p>
        </w:tc>
        <w:tc>
          <w:tcPr>
            <w:tcW w:type="dxa" w:w="1514"/>
          </w:tcPr>
          <w:p>
            <w:pPr>
              <w:spacing w:before="20" w:after="20"/>
            </w:pPr>
            <w:r/>
            <w:r>
              <w:rPr>
                <w:rFonts w:ascii="Verdana" w:hAnsi="Verdana"/>
                <w:b w:val="0"/>
                <w:sz w:val="16"/>
              </w:rPr>
              <w:t>Géopotentiel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0 10 009</w:t>
            </w:r>
          </w:p>
        </w:tc>
        <w:tc>
          <w:tcPr>
            <w:tcW w:type="dxa" w:w="1514"/>
          </w:tcPr>
          <w:p>
            <w:pPr>
              <w:spacing w:before="20" w:after="20"/>
            </w:pPr>
            <w:r/>
            <w:r>
              <w:rPr>
                <w:rFonts w:ascii="Verdana" w:hAnsi="Verdana"/>
                <w:b w:val="0"/>
                <w:sz w:val="16"/>
              </w:rPr>
              <w:t>Hauteur géopotentielle</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0 10 010</w:t>
            </w:r>
          </w:p>
        </w:tc>
        <w:tc>
          <w:tcPr>
            <w:tcW w:type="dxa" w:w="1514"/>
          </w:tcPr>
          <w:p>
            <w:pPr>
              <w:spacing w:before="20" w:after="20"/>
            </w:pPr>
            <w:r/>
            <w:r>
              <w:rPr>
                <w:rFonts w:ascii="Verdana" w:hAnsi="Verdana"/>
                <w:b w:val="0"/>
                <w:sz w:val="16"/>
              </w:rPr>
              <w:t>Pression minimale réduite au niveau moyen des mers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0 10 011</w:t>
            </w:r>
          </w:p>
        </w:tc>
        <w:tc>
          <w:tcPr>
            <w:tcW w:type="dxa" w:w="1514"/>
          </w:tcPr>
          <w:p>
            <w:pPr>
              <w:spacing w:before="20" w:after="20"/>
            </w:pPr>
            <w:r/>
            <w:r>
              <w:rPr>
                <w:rFonts w:ascii="Verdana" w:hAnsi="Verdana"/>
                <w:b w:val="0"/>
                <w:sz w:val="16"/>
              </w:rPr>
              <w:t>Pression maximale réduite au niveau moyen des mers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0 10 031</w:t>
            </w:r>
          </w:p>
        </w:tc>
        <w:tc>
          <w:tcPr>
            <w:tcW w:type="dxa" w:w="1514"/>
          </w:tcPr>
          <w:p>
            <w:pPr>
              <w:spacing w:before="20" w:after="20"/>
            </w:pPr>
            <w:r/>
            <w:r>
              <w:rPr>
                <w:rFonts w:ascii="Verdana" w:hAnsi="Verdana"/>
                <w:b w:val="0"/>
                <w:sz w:val="16"/>
              </w:rPr>
              <w:t>En direction du pôle Nord, distance à partir du centre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93: Des axes xyz situés à gauche ont été choisis pour le descripteur 0 10 031. | Note 150: La valeur du descripteur 0 10 031 a été sélectionnée de façon à convenir pour des satellites à orbite polaire plus ou moins synchrone avec le Soleil. Les orbites géostationnaires nécessiteraient des champs de données plus grands en ce qui concerne la distance et légèrement moins grands en ce qui concerne la vitesse.</w:t>
            </w:r>
          </w:p>
        </w:tc>
      </w:tr>
      <w:tr>
        <w:trPr>
          <w:cantSplit/>
        </w:trPr>
        <w:tc>
          <w:tcPr>
            <w:tcW w:type="dxa" w:w="1514"/>
          </w:tcPr>
          <w:p>
            <w:pPr>
              <w:spacing w:before="20" w:after="20"/>
            </w:pPr>
            <w:r/>
            <w:r>
              <w:rPr>
                <w:rFonts w:ascii="Verdana" w:hAnsi="Verdana"/>
                <w:b w:val="0"/>
                <w:sz w:val="16"/>
              </w:rPr>
              <w:t>0 10 032</w:t>
            </w:r>
          </w:p>
        </w:tc>
        <w:tc>
          <w:tcPr>
            <w:tcW w:type="dxa" w:w="1514"/>
          </w:tcPr>
          <w:p>
            <w:pPr>
              <w:spacing w:before="20" w:after="20"/>
            </w:pPr>
            <w:r/>
            <w:r>
              <w:rPr>
                <w:rFonts w:ascii="Verdana" w:hAnsi="Verdana"/>
                <w:b w:val="0"/>
                <w:sz w:val="16"/>
              </w:rPr>
              <w:t>Distance du satellite au centre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0 10 033</w:t>
            </w:r>
          </w:p>
        </w:tc>
        <w:tc>
          <w:tcPr>
            <w:tcW w:type="dxa" w:w="1514"/>
          </w:tcPr>
          <w:p>
            <w:pPr>
              <w:spacing w:before="20" w:after="20"/>
            </w:pPr>
            <w:r/>
            <w:r>
              <w:rPr>
                <w:rFonts w:ascii="Verdana" w:hAnsi="Verdana"/>
                <w:b w:val="0"/>
                <w:sz w:val="16"/>
              </w:rPr>
              <w:t>Altitude (de la plate-forme par rapport à l'ellipsoïde)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0 10 034</w:t>
            </w:r>
          </w:p>
        </w:tc>
        <w:tc>
          <w:tcPr>
            <w:tcW w:type="dxa" w:w="1514"/>
          </w:tcPr>
          <w:p>
            <w:pPr>
              <w:spacing w:before="20" w:after="20"/>
            </w:pPr>
            <w:r/>
            <w:r>
              <w:rPr>
                <w:rFonts w:ascii="Verdana" w:hAnsi="Verdana"/>
                <w:b w:val="0"/>
                <w:sz w:val="16"/>
              </w:rPr>
              <w:t>Rayon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0 10 035</w:t>
            </w:r>
          </w:p>
        </w:tc>
        <w:tc>
          <w:tcPr>
            <w:tcW w:type="dxa" w:w="1514"/>
          </w:tcPr>
          <w:p>
            <w:pPr>
              <w:spacing w:before="20" w:after="20"/>
            </w:pPr>
            <w:r/>
            <w:r>
              <w:rPr>
                <w:rFonts w:ascii="Verdana" w:hAnsi="Verdana"/>
                <w:b w:val="0"/>
                <w:sz w:val="16"/>
              </w:rPr>
              <w:t>Rayon de la courbure locale de la Terre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62000000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0 10 036</w:t>
            </w:r>
          </w:p>
        </w:tc>
        <w:tc>
          <w:tcPr>
            <w:tcW w:type="dxa" w:w="1514"/>
          </w:tcPr>
          <w:p>
            <w:pPr>
              <w:spacing w:before="20" w:after="20"/>
            </w:pPr>
            <w:r/>
            <w:r>
              <w:rPr>
                <w:rFonts w:ascii="Verdana" w:hAnsi="Verdana"/>
                <w:b w:val="0"/>
                <w:sz w:val="16"/>
              </w:rPr>
              <w:t>Ondulation du géoïde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-15000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128: L’ondulation du géoïde correspond à la différence entre l’ellipsoïde de référence (WGS-84) et la hauteur au-dessus du géoïde (EGM-96) au lieu géographique de l’observation, les deux valeurs étant données par rapport au centre de gravité de la Terre.</w:t>
            </w:r>
          </w:p>
        </w:tc>
      </w:tr>
      <w:tr>
        <w:trPr>
          <w:cantSplit/>
        </w:trPr>
        <w:tc>
          <w:tcPr>
            <w:tcW w:type="dxa" w:w="1514"/>
          </w:tcPr>
          <w:p>
            <w:pPr>
              <w:spacing w:before="20" w:after="20"/>
            </w:pPr>
            <w:r/>
            <w:r>
              <w:rPr>
                <w:rFonts w:ascii="Verdana" w:hAnsi="Verdana"/>
                <w:b w:val="0"/>
                <w:sz w:val="16"/>
              </w:rPr>
              <w:t>0 10 038</w:t>
            </w:r>
          </w:p>
        </w:tc>
        <w:tc>
          <w:tcPr>
            <w:tcW w:type="dxa" w:w="1514"/>
          </w:tcPr>
          <w:p>
            <w:pPr>
              <w:spacing w:before="20" w:after="20"/>
            </w:pPr>
            <w:r/>
            <w:r>
              <w:rPr>
                <w:rFonts w:ascii="Verdana" w:hAnsi="Verdana"/>
                <w:b w:val="0"/>
                <w:sz w:val="16"/>
              </w:rPr>
              <w:t>Hauteur maximale de la pontée au-dessus de la ligne de charge d'été</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0 10 039</w:t>
            </w:r>
          </w:p>
        </w:tc>
        <w:tc>
          <w:tcPr>
            <w:tcW w:type="dxa" w:w="1514"/>
          </w:tcPr>
          <w:p>
            <w:pPr>
              <w:spacing w:before="20" w:after="20"/>
            </w:pPr>
            <w:r/>
            <w:r>
              <w:rPr>
                <w:rFonts w:ascii="Verdana" w:hAnsi="Verdana"/>
                <w:b w:val="0"/>
                <w:sz w:val="16"/>
              </w:rPr>
              <w:t>Écart entre le niveau de référence (ligne de charge d'été maximale) et le niveau réel de la mer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0 10 040</w:t>
            </w:r>
          </w:p>
        </w:tc>
        <w:tc>
          <w:tcPr>
            <w:tcW w:type="dxa" w:w="1514"/>
          </w:tcPr>
          <w:p>
            <w:pPr>
              <w:spacing w:before="20" w:after="20"/>
            </w:pPr>
            <w:r/>
            <w:r>
              <w:rPr>
                <w:rFonts w:ascii="Verdana" w:hAnsi="Verdana"/>
                <w:b w:val="0"/>
                <w:sz w:val="16"/>
              </w:rPr>
              <w:t>Données extraites concernant le nombre de couches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0 10 050</w:t>
            </w:r>
          </w:p>
        </w:tc>
        <w:tc>
          <w:tcPr>
            <w:tcW w:type="dxa" w:w="1514"/>
          </w:tcPr>
          <w:p>
            <w:pPr>
              <w:spacing w:before="20" w:after="20"/>
            </w:pPr>
            <w:r/>
            <w:r>
              <w:rPr>
                <w:rFonts w:ascii="Verdana" w:hAnsi="Verdana"/>
                <w:b w:val="0"/>
                <w:sz w:val="16"/>
              </w:rPr>
              <w:t>Écart type de l'altitude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0 10 051</w:t>
            </w:r>
          </w:p>
        </w:tc>
        <w:tc>
          <w:tcPr>
            <w:tcW w:type="dxa" w:w="1514"/>
          </w:tcPr>
          <w:p>
            <w:pPr>
              <w:spacing w:before="20" w:after="20"/>
            </w:pPr>
            <w:r/>
            <w:r>
              <w:rPr>
                <w:rFonts w:ascii="Verdana" w:hAnsi="Verdana"/>
                <w:b w:val="0"/>
                <w:sz w:val="16"/>
              </w:rPr>
              <w:t>Pression ramenée au niveau moyen de la mer</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0 10 052</w:t>
            </w:r>
          </w:p>
        </w:tc>
        <w:tc>
          <w:tcPr>
            <w:tcW w:type="dxa" w:w="1514"/>
          </w:tcPr>
          <w:p>
            <w:pPr>
              <w:spacing w:before="20" w:after="20"/>
            </w:pPr>
            <w:r/>
            <w:r>
              <w:rPr>
                <w:rFonts w:ascii="Verdana" w:hAnsi="Verdana"/>
                <w:b w:val="0"/>
                <w:sz w:val="16"/>
              </w:rPr>
              <w:t>Calage de l'altimètre (QNH)</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0 10 053</w:t>
            </w:r>
          </w:p>
        </w:tc>
        <w:tc>
          <w:tcPr>
            <w:tcW w:type="dxa" w:w="1514"/>
          </w:tcPr>
          <w:p>
            <w:pPr>
              <w:spacing w:before="20" w:after="20"/>
            </w:pPr>
            <w:r/>
            <w:r>
              <w:rPr>
                <w:rFonts w:ascii="Verdana" w:hAnsi="Verdana"/>
                <w:b w:val="0"/>
                <w:sz w:val="16"/>
              </w:rPr>
              <w:t>Altitude GNSS (Système mondial de navigation par satellite)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0 10 060</w:t>
            </w:r>
          </w:p>
        </w:tc>
        <w:tc>
          <w:tcPr>
            <w:tcW w:type="dxa" w:w="1514"/>
          </w:tcPr>
          <w:p>
            <w:pPr>
              <w:spacing w:before="20" w:after="20"/>
            </w:pPr>
            <w:r/>
            <w:r>
              <w:rPr>
                <w:rFonts w:ascii="Verdana" w:hAnsi="Verdana"/>
                <w:b w:val="0"/>
                <w:sz w:val="16"/>
              </w:rPr>
              <w:t>Variation de pression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0 10 061</w:t>
            </w:r>
          </w:p>
        </w:tc>
        <w:tc>
          <w:tcPr>
            <w:tcW w:type="dxa" w:w="1514"/>
          </w:tcPr>
          <w:p>
            <w:pPr>
              <w:spacing w:before="20" w:after="20"/>
            </w:pPr>
            <w:r/>
            <w:r>
              <w:rPr>
                <w:rFonts w:ascii="Verdana" w:hAnsi="Verdana"/>
                <w:b w:val="0"/>
                <w:sz w:val="16"/>
              </w:rPr>
              <w:t>Variation de pression en 3 heures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-500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0 10 062</w:t>
            </w:r>
          </w:p>
        </w:tc>
        <w:tc>
          <w:tcPr>
            <w:tcW w:type="dxa" w:w="1514"/>
          </w:tcPr>
          <w:p>
            <w:pPr>
              <w:spacing w:before="20" w:after="20"/>
            </w:pPr>
            <w:r/>
            <w:r>
              <w:rPr>
                <w:rFonts w:ascii="Verdana" w:hAnsi="Verdana"/>
                <w:b w:val="0"/>
                <w:sz w:val="16"/>
              </w:rPr>
              <w:t>Variation de pression en 24 heures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0 10 063</w:t>
            </w:r>
          </w:p>
        </w:tc>
        <w:tc>
          <w:tcPr>
            <w:tcW w:type="dxa" w:w="1514"/>
          </w:tcPr>
          <w:p>
            <w:pPr>
              <w:spacing w:before="20" w:after="20"/>
            </w:pPr>
            <w:r/>
            <w:r>
              <w:rPr>
                <w:rFonts w:ascii="Verdana" w:hAnsi="Verdana"/>
                <w:b w:val="0"/>
                <w:sz w:val="16"/>
              </w:rPr>
              <w:t>Caractéristique de la tendance barométrique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0 10 064</w:t>
            </w:r>
          </w:p>
        </w:tc>
        <w:tc>
          <w:tcPr>
            <w:tcW w:type="dxa" w:w="1514"/>
          </w:tcPr>
          <w:p>
            <w:pPr>
              <w:spacing w:before="20" w:after="20"/>
            </w:pPr>
            <w:r/>
            <w:r>
              <w:rPr>
                <w:rFonts w:ascii="Verdana" w:hAnsi="Verdana"/>
                <w:b w:val="0"/>
                <w:sz w:val="16"/>
              </w:rPr>
              <w:t>Niveau de croisière-SIGMET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0 10 070</w:t>
            </w:r>
          </w:p>
        </w:tc>
        <w:tc>
          <w:tcPr>
            <w:tcW w:type="dxa" w:w="1514"/>
          </w:tcPr>
          <w:p>
            <w:pPr>
              <w:spacing w:before="20" w:after="20"/>
            </w:pPr>
            <w:r/>
            <w:r>
              <w:rPr>
                <w:rFonts w:ascii="Verdana" w:hAnsi="Verdana"/>
                <w:b w:val="0"/>
                <w:sz w:val="16"/>
              </w:rPr>
              <w:t>Altitude de l'aéronef indiquée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0 10 071</w:t>
            </w:r>
          </w:p>
        </w:tc>
        <w:tc>
          <w:tcPr>
            <w:tcW w:type="dxa" w:w="1514"/>
          </w:tcPr>
          <w:p>
            <w:pPr>
              <w:spacing w:before="20" w:after="20"/>
            </w:pPr>
            <w:r/>
            <w:r>
              <w:rPr>
                <w:rFonts w:ascii="Verdana" w:hAnsi="Verdana"/>
                <w:b w:val="0"/>
                <w:sz w:val="16"/>
              </w:rPr>
              <w:t>Résolution verticale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0 10 079</w:t>
            </w:r>
          </w:p>
        </w:tc>
        <w:tc>
          <w:tcPr>
            <w:tcW w:type="dxa" w:w="1514"/>
          </w:tcPr>
          <w:p>
            <w:pPr>
              <w:spacing w:before="20" w:after="20"/>
            </w:pPr>
            <w:r/>
            <w:r>
              <w:rPr>
                <w:rFonts w:ascii="Verdana" w:hAnsi="Verdana"/>
                <w:b w:val="0"/>
                <w:sz w:val="16"/>
              </w:rPr>
              <w:t>Angle de décalage du satellite par rapport au nadir, calculé à partir de l'assiette de la plate-forme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0 10 080</w:t>
            </w:r>
          </w:p>
        </w:tc>
        <w:tc>
          <w:tcPr>
            <w:tcW w:type="dxa" w:w="1514"/>
          </w:tcPr>
          <w:p>
            <w:pPr>
              <w:spacing w:before="20" w:after="20"/>
            </w:pPr>
            <w:r/>
            <w:r>
              <w:rPr>
                <w:rFonts w:ascii="Verdana" w:hAnsi="Verdana"/>
                <w:b w:val="0"/>
                <w:sz w:val="16"/>
              </w:rPr>
              <w:t>Distance zénithale de la visée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0 10 081</w:t>
            </w:r>
          </w:p>
        </w:tc>
        <w:tc>
          <w:tcPr>
            <w:tcW w:type="dxa" w:w="1514"/>
          </w:tcPr>
          <w:p>
            <w:pPr>
              <w:spacing w:before="20" w:after="20"/>
            </w:pPr>
            <w:r/>
            <w:r>
              <w:rPr>
                <w:rFonts w:ascii="Verdana" w:hAnsi="Verdana"/>
                <w:b w:val="0"/>
                <w:sz w:val="16"/>
              </w:rPr>
              <w:t>Altitude du centre de gravité au-dessus de l'ellipsoïde de référence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0 10 082</w:t>
            </w:r>
          </w:p>
        </w:tc>
        <w:tc>
          <w:tcPr>
            <w:tcW w:type="dxa" w:w="1514"/>
          </w:tcPr>
          <w:p>
            <w:pPr>
              <w:spacing w:before="20" w:after="20"/>
            </w:pPr>
            <w:r/>
            <w:r>
              <w:rPr>
                <w:rFonts w:ascii="Verdana" w:hAnsi="Verdana"/>
                <w:b w:val="0"/>
                <w:sz w:val="16"/>
              </w:rPr>
              <w:t>Taux de variation d'altitude instantané</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-65536</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0 10 083</w:t>
            </w:r>
          </w:p>
        </w:tc>
        <w:tc>
          <w:tcPr>
            <w:tcW w:type="dxa" w:w="1514"/>
          </w:tcPr>
          <w:p>
            <w:pPr>
              <w:spacing w:before="20" w:after="20"/>
            </w:pPr>
            <w:r/>
            <w:r>
              <w:rPr>
                <w:rFonts w:ascii="Verdana" w:hAnsi="Verdana"/>
                <w:b w:val="0"/>
                <w:sz w:val="16"/>
              </w:rPr>
              <w:t>Carré de l'angle de décalage du satellite par rapport au nadir, calculé à partir de l'assiette de la plate-forme</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0 10 084</w:t>
            </w:r>
          </w:p>
        </w:tc>
        <w:tc>
          <w:tcPr>
            <w:tcW w:type="dxa" w:w="1514"/>
          </w:tcPr>
          <w:p>
            <w:pPr>
              <w:spacing w:before="20" w:after="20"/>
            </w:pPr>
            <w:r/>
            <w:r>
              <w:rPr>
                <w:rFonts w:ascii="Verdana" w:hAnsi="Verdana"/>
                <w:b w:val="0"/>
                <w:sz w:val="16"/>
              </w:rPr>
              <w:t>Carré de l'angle de décalage du satellite par rapport au nadir, calculé à partir de la forme des ondes</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0 10 085</w:t>
            </w:r>
          </w:p>
        </w:tc>
        <w:tc>
          <w:tcPr>
            <w:tcW w:type="dxa" w:w="1514"/>
          </w:tcPr>
          <w:p>
            <w:pPr>
              <w:spacing w:before="20" w:after="20"/>
            </w:pPr>
            <w:r/>
            <w:r>
              <w:rPr>
                <w:rFonts w:ascii="Verdana" w:hAnsi="Verdana"/>
                <w:b w:val="0"/>
                <w:sz w:val="16"/>
              </w:rPr>
              <w:t>Hauteur moyenne de la surface de la mer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0 10 086</w:t>
            </w:r>
          </w:p>
        </w:tc>
        <w:tc>
          <w:tcPr>
            <w:tcW w:type="dxa" w:w="1514"/>
          </w:tcPr>
          <w:p>
            <w:pPr>
              <w:spacing w:before="20" w:after="20"/>
            </w:pPr>
            <w:r/>
            <w:r>
              <w:rPr>
                <w:rFonts w:ascii="Verdana" w:hAnsi="Verdana"/>
                <w:b w:val="0"/>
                <w:sz w:val="16"/>
              </w:rPr>
              <w:t>Hauteur du géoïde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0 10 087</w:t>
            </w:r>
          </w:p>
        </w:tc>
        <w:tc>
          <w:tcPr>
            <w:tcW w:type="dxa" w:w="1514"/>
          </w:tcPr>
          <w:p>
            <w:pPr>
              <w:spacing w:before="20" w:after="20"/>
            </w:pPr>
            <w:r/>
            <w:r>
              <w:rPr>
                <w:rFonts w:ascii="Verdana" w:hAnsi="Verdana"/>
                <w:b w:val="0"/>
                <w:sz w:val="16"/>
              </w:rPr>
              <w:t>Profondeur de l'océan ou altitude des terres émergées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0 10 088</w:t>
            </w:r>
          </w:p>
        </w:tc>
        <w:tc>
          <w:tcPr>
            <w:tcW w:type="dxa" w:w="1514"/>
          </w:tcPr>
          <w:p>
            <w:pPr>
              <w:spacing w:before="20" w:after="20"/>
            </w:pPr>
            <w:r/>
            <w:r>
              <w:rPr>
                <w:rFonts w:ascii="Verdana" w:hAnsi="Verdana"/>
                <w:b w:val="0"/>
                <w:sz w:val="16"/>
              </w:rPr>
              <w:t>Hauteur géocentrique totale de marée océanique (solution 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0 10 089</w:t>
            </w:r>
          </w:p>
        </w:tc>
        <w:tc>
          <w:tcPr>
            <w:tcW w:type="dxa" w:w="1514"/>
          </w:tcPr>
          <w:p>
            <w:pPr>
              <w:spacing w:before="20" w:after="20"/>
            </w:pPr>
            <w:r/>
            <w:r>
              <w:rPr>
                <w:rFonts w:ascii="Verdana" w:hAnsi="Verdana"/>
                <w:b w:val="0"/>
                <w:sz w:val="16"/>
              </w:rPr>
              <w:t>Hauteur géocentrique totale de marée océanique (solution 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0 10 090</w:t>
            </w:r>
          </w:p>
        </w:tc>
        <w:tc>
          <w:tcPr>
            <w:tcW w:type="dxa" w:w="1514"/>
          </w:tcPr>
          <w:p>
            <w:pPr>
              <w:spacing w:before="20" w:after="20"/>
            </w:pPr>
            <w:r/>
            <w:r>
              <w:rPr>
                <w:rFonts w:ascii="Verdana" w:hAnsi="Verdana"/>
                <w:b w:val="0"/>
                <w:sz w:val="16"/>
              </w:rPr>
              <w:t>Hauteur de marée pour une période prolongée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0 10 091</w:t>
            </w:r>
          </w:p>
        </w:tc>
        <w:tc>
          <w:tcPr>
            <w:tcW w:type="dxa" w:w="1514"/>
          </w:tcPr>
          <w:p>
            <w:pPr>
              <w:spacing w:before="20" w:after="20"/>
            </w:pPr>
            <w:r/>
            <w:r>
              <w:rPr>
                <w:rFonts w:ascii="Verdana" w:hAnsi="Verdana"/>
                <w:b w:val="0"/>
                <w:sz w:val="16"/>
              </w:rPr>
              <w:t>Hauteur de marée incluant l'effet de charge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0 10 092</w:t>
            </w:r>
          </w:p>
        </w:tc>
        <w:tc>
          <w:tcPr>
            <w:tcW w:type="dxa" w:w="1514"/>
          </w:tcPr>
          <w:p>
            <w:pPr>
              <w:spacing w:before="20" w:after="20"/>
            </w:pPr>
            <w:r/>
            <w:r>
              <w:rPr>
                <w:rFonts w:ascii="Verdana" w:hAnsi="Verdana"/>
                <w:b w:val="0"/>
                <w:sz w:val="16"/>
              </w:rPr>
              <w:t>Hauteur de marée terrestre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0 10 093</w:t>
            </w:r>
          </w:p>
        </w:tc>
        <w:tc>
          <w:tcPr>
            <w:tcW w:type="dxa" w:w="1514"/>
          </w:tcPr>
          <w:p>
            <w:pPr>
              <w:spacing w:before="20" w:after="20"/>
            </w:pPr>
            <w:r/>
            <w:r>
              <w:rPr>
                <w:rFonts w:ascii="Verdana" w:hAnsi="Verdana"/>
                <w:b w:val="0"/>
                <w:sz w:val="16"/>
              </w:rPr>
              <w:t>Hauteur géocentrique de marée polaire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0 10 095</w:t>
            </w:r>
          </w:p>
        </w:tc>
        <w:tc>
          <w:tcPr>
            <w:tcW w:type="dxa" w:w="1514"/>
          </w:tcPr>
          <w:p>
            <w:pPr>
              <w:spacing w:before="20" w:after="20"/>
            </w:pPr>
            <w:r/>
            <w:r>
              <w:rPr>
                <w:rFonts w:ascii="Verdana" w:hAnsi="Verdana"/>
                <w:b w:val="0"/>
                <w:sz w:val="16"/>
              </w:rPr>
              <w:t>Hauteur utilisée pour l'atmosphère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0 10 096</w:t>
            </w:r>
          </w:p>
        </w:tc>
        <w:tc>
          <w:tcPr>
            <w:tcW w:type="dxa" w:w="1514"/>
          </w:tcPr>
          <w:p>
            <w:pPr>
              <w:spacing w:before="20" w:after="20"/>
            </w:pPr>
            <w:r/>
            <w:r>
              <w:rPr>
                <w:rFonts w:ascii="Verdana" w:hAnsi="Verdana"/>
                <w:b w:val="0"/>
                <w:sz w:val="16"/>
              </w:rPr>
              <w:t>Topographie dynamique moyenne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0 10 097</w:t>
            </w:r>
          </w:p>
        </w:tc>
        <w:tc>
          <w:tcPr>
            <w:tcW w:type="dxa" w:w="1514"/>
          </w:tcPr>
          <w:p>
            <w:pPr>
              <w:spacing w:before="20" w:after="20"/>
            </w:pPr>
            <w:r/>
            <w:r>
              <w:rPr>
                <w:rFonts w:ascii="Verdana" w:hAnsi="Verdana"/>
                <w:b w:val="0"/>
                <w:sz w:val="16"/>
              </w:rPr>
              <w:t>Hauteur moyenne de la surface de la mer fournie par l'altimètre seulement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0 10 098</w:t>
            </w:r>
          </w:p>
        </w:tc>
        <w:tc>
          <w:tcPr>
            <w:tcW w:type="dxa" w:w="1514"/>
          </w:tcPr>
          <w:p>
            <w:pPr>
              <w:spacing w:before="20" w:after="20"/>
            </w:pPr>
            <w:r/>
            <w:r>
              <w:rPr>
                <w:rFonts w:ascii="Verdana" w:hAnsi="Verdana"/>
                <w:b w:val="0"/>
                <w:sz w:val="16"/>
              </w:rPr>
              <w:t>Hauteur de la marée de charge pour le calcul de la marée géocentrique - solution 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0 10 099</w:t>
            </w:r>
          </w:p>
        </w:tc>
        <w:tc>
          <w:tcPr>
            <w:tcW w:type="dxa" w:w="1514"/>
          </w:tcPr>
          <w:p>
            <w:pPr>
              <w:spacing w:before="20" w:after="20"/>
            </w:pPr>
            <w:r/>
            <w:r>
              <w:rPr>
                <w:rFonts w:ascii="Verdana" w:hAnsi="Verdana"/>
                <w:b w:val="0"/>
                <w:sz w:val="16"/>
              </w:rPr>
              <w:t>Hauteur de la marée de charge pour le calcul de la marée géocentrique - solution 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0 10 100</w:t>
            </w:r>
          </w:p>
        </w:tc>
        <w:tc>
          <w:tcPr>
            <w:tcW w:type="dxa" w:w="1514"/>
          </w:tcPr>
          <w:p>
            <w:pPr>
              <w:spacing w:before="20" w:after="20"/>
            </w:pPr>
            <w:r/>
            <w:r>
              <w:rPr>
                <w:rFonts w:ascii="Verdana" w:hAnsi="Verdana"/>
                <w:b w:val="0"/>
                <w:sz w:val="16"/>
              </w:rPr>
              <w:t>Hauteur de marée pour une période prolongée hors d'équilibre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0 10 101</w:t>
            </w:r>
          </w:p>
        </w:tc>
        <w:tc>
          <w:tcPr>
            <w:tcW w:type="dxa" w:w="1514"/>
          </w:tcPr>
          <w:p>
            <w:pPr>
              <w:spacing w:before="20" w:after="20"/>
            </w:pPr>
            <w:r/>
            <w:r>
              <w:rPr>
                <w:rFonts w:ascii="Verdana" w:hAnsi="Verdana"/>
                <w:b w:val="0"/>
                <w:sz w:val="16"/>
              </w:rPr>
              <w:t>Carré de l'angle de décalage du satellite par rapport au nadir, calculé à partir de la forme des ondes</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0 10 102</w:t>
            </w:r>
          </w:p>
        </w:tc>
        <w:tc>
          <w:tcPr>
            <w:tcW w:type="dxa" w:w="1514"/>
          </w:tcPr>
          <w:p>
            <w:pPr>
              <w:spacing w:before="20" w:after="20"/>
            </w:pPr>
            <w:r/>
            <w:r>
              <w:rPr>
                <w:rFonts w:ascii="Verdana" w:hAnsi="Verdana"/>
                <w:b w:val="0"/>
                <w:sz w:val="16"/>
              </w:rPr>
              <w:t>Anomalie de hauteur de la surface de la mer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0 10 103</w:t>
            </w:r>
          </w:p>
        </w:tc>
        <w:tc>
          <w:tcPr>
            <w:tcW w:type="dxa" w:w="1514"/>
          </w:tcPr>
          <w:p>
            <w:pPr>
              <w:spacing w:before="20" w:after="20"/>
            </w:pPr>
            <w:r/>
            <w:r>
              <w:rPr>
                <w:rFonts w:ascii="Verdana" w:hAnsi="Verdana"/>
                <w:b w:val="0"/>
                <w:sz w:val="16"/>
              </w:rPr>
              <w:t>Précision de la topographie dynamique moyenne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