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21 : Données de radar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Réflectivité horizontale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Réflectivité verticale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Réflectivité différentielle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Réflectivité différentielle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dépolarisation rectiligne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dépolarisation circulaire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Doppler moyenne dans la direction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Doppler moyenne dans la direction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Doppler moyenne dans la direction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Doppler moyenne (radiale)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en dehors de l'intervalle de NYQUIST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en haut de l'intervalle de NYQUIST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maximale des échos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des cellules de 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cellules de 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d'azimut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azimutale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différentielle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corrélation de polarisation croisée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Contenu en eau liquide, intégré verticalement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bande brillante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Puissance du signal supérieure à 1 mW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radiométrique (valeur de bruit)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Estimation des bruits parasites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Totalisateur de paquets manquants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le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du radioaltimètre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la mer en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surface de la mer (SADIST-2)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d'étalonnage de l'altimètre sur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de l'altimètre sur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spectrale de l'image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Représentation des intensités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(ionosphère)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(troposphère sèche)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(troposphère humide)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(constance d'étalonnage)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boucle ouverte (boucle hauteur-temps)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boucle ouverte (contrôle de gain automatique)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Étalonnage - cible chaude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Étalonnage - cible froide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pixels au nadir uniquement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pixels en double visée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Rétrodiffusion, conditions humides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RASS (Système de sondage radio-acoustique)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d'ambiguïtés vectorielles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du vecteur vent retenu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de mesures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équivalente radar normalisée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variance Kp (alpha)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variance Kp (bêta)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vecteur vent mesuré à l'intérieur de la cellule par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l'avant du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l'arrière du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variance Kp (gamma)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Modèle géophysique de diffusomètre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de pluie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pluie déterminé par SEAWINDS à partir d'une fonction objective normalisée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équivalente radar normalisée déterminée par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valables par seconde utilisés pour dériver les paramètres précédents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totale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maximale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Pouvoir séparateur de l'interspectre de covariance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réelle des interspectres, en nombre de cellules de la grille polaire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imaginaire des interspectres, en nombre de cellules de la grille polaire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pluie de l'altimètre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Commande automatique de gain dans la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variation du front arrière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Recoupement de faisceaux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estimative de sigma-0 à une incidence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Pente à une incidence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estimative de la pente à une incidence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Sensibilité à l'humidité du 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vecteur vent dans la cellule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de rétrodiffusion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Perte par unité de longueur utilisée pour l'atmosphère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l'estimation de la Kp,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des sigma-0,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Utilisation de données synthétiques,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des données synthétiques,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l'orbite et de l'attitude du satellite,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Contamination par réflexion sur panneau solaire,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Présence et qualité des télémesures,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référence extrapolée,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terrestre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présence de glace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du coefficient de rétrodiffusion corrigé pour l'océan en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Commande automatique de gain dans la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haute fréquence de la variabilité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à 20 Hz - centre de gravité excentré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- centre de gravité excentré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pour l'océan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pour l'océan à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 à 20 Hz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