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28 : Position d'éléments autres que des coordonnées (horizontale - 2)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0 28 001</w:t>
            </w:r>
          </w:p>
        </w:tc>
        <w:tc>
          <w:tcPr>
            <w:tcW w:type="dxa" w:w="1514"/>
          </w:tcPr>
          <w:p>
            <w:pPr>
              <w:spacing w:before="20" w:after="20"/>
            </w:pPr>
            <w:r/>
            <w:r>
              <w:rPr>
                <w:rFonts w:ascii="Verdana" w:hAnsi="Verdana"/>
                <w:b w:val="0"/>
                <w:sz w:val="16"/>
              </w:rPr>
              <w:t>Longitude (précision élevée)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0 28 002</w:t>
            </w:r>
          </w:p>
        </w:tc>
        <w:tc>
          <w:tcPr>
            <w:tcW w:type="dxa" w:w="1514"/>
          </w:tcPr>
          <w:p>
            <w:pPr>
              <w:spacing w:before="20" w:after="20"/>
            </w:pPr>
            <w:r/>
            <w:r>
              <w:rPr>
                <w:rFonts w:ascii="Verdana" w:hAnsi="Verdana"/>
                <w:b w:val="0"/>
                <w:sz w:val="16"/>
              </w:rPr>
              <w:t>Longitude (faible précision)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0 28 003</w:t>
            </w:r>
          </w:p>
        </w:tc>
        <w:tc>
          <w:tcPr>
            <w:tcW w:type="dxa" w:w="1514"/>
          </w:tcPr>
          <w:p>
            <w:pPr>
              <w:spacing w:before="20" w:after="20"/>
            </w:pPr>
            <w:r/>
            <w:r>
              <w:rPr>
                <w:rFonts w:ascii="Verdana" w:hAnsi="Verdana"/>
                <w:b w:val="0"/>
                <w:sz w:val="16"/>
              </w:rPr>
              <w:t>Autre longitude possible (faible précision)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133: Une «autre longitude possible» peut être utilisée lorsque le calcul de la position aboutit à des solutions multiples et qu’à priori il n’y a pas de possibilité de les distinguer.</w:t>
            </w:r>
          </w:p>
        </w:tc>
      </w:tr>
      <w:tr>
        <w:trPr>
          <w:cantSplit/>
        </w:trPr>
        <w:tc>
          <w:tcPr>
            <w:tcW w:type="dxa" w:w="1514"/>
          </w:tcPr>
          <w:p>
            <w:pPr>
              <w:spacing w:before="20" w:after="20"/>
            </w:pPr>
            <w:r/>
            <w:r>
              <w:rPr>
                <w:rFonts w:ascii="Verdana" w:hAnsi="Verdana"/>
                <w:b w:val="0"/>
                <w:sz w:val="16"/>
              </w:rPr>
              <w:t>0 28 004</w:t>
            </w:r>
          </w:p>
        </w:tc>
        <w:tc>
          <w:tcPr>
            <w:tcW w:type="dxa" w:w="1514"/>
          </w:tcPr>
          <w:p>
            <w:pPr>
              <w:spacing w:before="20" w:after="20"/>
            </w:pPr>
            <w:r/>
            <w:r>
              <w:rPr>
                <w:rFonts w:ascii="Verdana" w:hAnsi="Verdana"/>
                <w:b w:val="0"/>
                <w:sz w:val="16"/>
              </w:rPr>
              <w:t>Autre longitude possible (précision élevée)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133: Une «autre longitude possible» peut être utilisée lorsque le calcul de la position aboutit à des solutions multiples et qu’à priori il n’y a pas de possibilité de les distinguer.</w:t>
            </w:r>
          </w:p>
        </w:tc>
      </w:tr>
      <w:tr>
        <w:trPr>
          <w:cantSplit/>
        </w:trPr>
        <w:tc>
          <w:tcPr>
            <w:tcW w:type="dxa" w:w="1514"/>
          </w:tcPr>
          <w:p>
            <w:pPr>
              <w:spacing w:before="20" w:after="20"/>
            </w:pPr>
            <w:r/>
            <w:r>
              <w:rPr>
                <w:rFonts w:ascii="Verdana" w:hAnsi="Verdana"/>
                <w:b w:val="0"/>
                <w:sz w:val="16"/>
              </w:rPr>
              <w:t>0 28 010</w:t>
            </w:r>
          </w:p>
        </w:tc>
        <w:tc>
          <w:tcPr>
            <w:tcW w:type="dxa" w:w="1514"/>
          </w:tcPr>
          <w:p>
            <w:pPr>
              <w:spacing w:before="20" w:after="20"/>
            </w:pPr>
            <w:r/>
            <w:r>
              <w:rPr>
                <w:rFonts w:ascii="Verdana" w:hAnsi="Verdana"/>
                <w:b w:val="0"/>
                <w:sz w:val="16"/>
              </w:rPr>
              <w:t>Axe de l'empreinte 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0 28 031</w:t>
            </w:r>
          </w:p>
        </w:tc>
        <w:tc>
          <w:tcPr>
            <w:tcW w:type="dxa" w:w="1514"/>
          </w:tcPr>
          <w:p>
            <w:pPr>
              <w:spacing w:before="20" w:after="20"/>
            </w:pPr>
            <w:r/>
            <w:r>
              <w:rPr>
                <w:rFonts w:ascii="Verdana" w:hAnsi="Verdana"/>
                <w:b w:val="0"/>
                <w:sz w:val="16"/>
              </w:rPr>
              <w:t>En direction de 90°E, distance à partir du centre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94: Des axes x y z situés à gauche ont été choisis pour le descripteur 0 28 031. | Note 152: La valeur du descripteur 0 28 031 a été sélectionnée de façon à convenir pour des satellites à orbite polaire plus ou moins synchrone avec le Soleil. Des orbites géostationnaires nécessiteraient des champs de données plus grands en ce qui concerne la distance et légèrement moins grands en ce qui concerne la vitesse.</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