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11</w:t>
      </w:r>
    </w:p>
    <w:p>
      <w:r>
        <w:rPr>
          <w:rFonts w:ascii="Verdana" w:hAnsi="Verdana"/>
          <w:b/>
          <w:sz w:val="18"/>
        </w:rPr>
        <w:t>0 11 030  Повышенная степень турбулентности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 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 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 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 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 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 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 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 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 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Экстремальная 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Экстремальная 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Экстремальная, 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Легкая, в отдельных случаях умеренная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Легкая, иногда умеренная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Легкая, часто умеренная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Умеренная, в отдельных случаях сильная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Умеренная, иногда сильная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Умеренная, часто сильная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Сильная, в отдельных случаях экстремальная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Сильная, иногда экстремальная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Сильная, часто экстремальная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11 031  Степень турбулентности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 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 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 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 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 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 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Легкая 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Умеренная 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Сильная 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Экстремальная при ясном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Экстремальная при облачном небе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Экстремальная, облачное/ясное небо не указано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11 037  Индекс турбулентности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&lt;0,1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peak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peak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peak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peak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peak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peak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peak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peak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ave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peak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ave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ave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peak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ave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ave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ave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peak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ave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ave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ave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ave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ave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 peak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Нуль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Нуль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11 038  Время наступления пиковой скорости вихревой диссипации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Информации о времени не имеется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11 039  Расширенное время наступления пиковой скорости вихревой диссипации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15-59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Как и выше, до значения 59 ≤ min &lt; 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Информации о времени не имеется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