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</w:t>
      </w:r>
    </w:p>
    <w:p>
      <w:r>
        <w:rPr>
          <w:rFonts w:ascii="Verdana" w:hAnsi="Verdana"/>
          <w:b/>
          <w:sz w:val="18"/>
        </w:rPr>
        <w:t>0 42 004  Confidence of inversion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direction resolved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180-degree ambiguity not resolved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42 017  Quality flag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42 018  Quality flag for each partition of swell wave spectra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Very good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Medium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