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13: Hydrographic and hydrological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Specific humidity</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Mixing ratio</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Vapour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Vapour density</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Mixing heights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Minimum 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Maximum 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Relative humidity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B39: Concerning descriptor 0 13 009, the originators of these data want to be able to retain the raw (i.e. unprocessed) relative humidity value reported by the sensor in order to be able to track, among other things, when a sensor begins to malfunction. The latter case is when a negative value might occur. For worldwide exchange with other countries, it is possible that only the processed data would ever be sent.</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Total precipitation/total water equivalent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Depth of fresh snow</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B26: A snow depth value of -0.01 m before scaling (-1 after scaling or in CREX) shall indicate a little (less than 0.005 m) snow. A value of -0.02 m (-2 after scaling or inCREX) shall indicate "snow cover not continuous".</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Total snow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B26: A snow depth value of -0.01 m before scaling (-1 after scaling or in CREX) shall indicate a little (less than 0.005 m) snow. A value of -0.02 m (-2 after scaling or inCREX) shall indicate "snow cover not continuous".</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Rainfall/water equivalent of snow (averaged rate)</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Snowfall (averaged rate)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Precipitable water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Total precipitation past 1 hour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Total precipitation past 3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Total precipitation past 6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Total precipitation past 12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Total precipitation past 24 hours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Evapotranspiration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Evaporation/evapotranspiration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B53: Descriptor 0 13 033 should be used instead of descriptor 0 13 032 to encode evaporation/evapotranspiration.</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Evaporation/evapotranspiration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Superadiabatic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Terrain type (ice/snow)</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Surface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Pasquill-Gifford stability category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Parcel lifted index (to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B119: Since the two lifted indices (0 13 042 and 0 13 043) are defined as temperature differences, they may take on negative values, even though the units are kelvin; hence the non-zero reference value. | Note B130: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Best lifted index (to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B119: Since the two lifted indices (0 13 042 and 0 13 043) are defined as temperature differences, they may take on negative values, even though the units are kelvin; hence the non-zero reference value. | Note B130: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K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KO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Maximum buoyancy</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Modified Showalter stability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B129: The "Modified Showalter stability index" is defined as the temperature difference between the ambient 500-hPa temperature and the temperature a parcel of air,initially at a selected base level, would have if brought from its condensation level to the 500-hPa surface by a moist adiabatic process. Positive values denote stable conditions, while negative values denote unstable conditions. The base level is 850 hPa, 800 hPa or 750 hPa if the station elevation is less than 1000, 1000 to 1400 or 1401 to 2000 gpm above mean sea level, respectively.</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Water fraction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Frequency group,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Highest daily amount of precipitation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Intensity of precipitation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Character and intensity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Time of beginning or end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Size of precipitating element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Number of flashes (thunderstorm)</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Total accumulated precipitation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Upstream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Downstream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Maximum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Ground water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Water pH</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pH unit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Water conductivity</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Dissolved oxygen</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Turbidity</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Oxidation Reduction Potential (ORP)</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Radiometer water vapour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Radiometer liquid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Cloud optical thickness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0 13 094</w:t>
            </w:r>
          </w:p>
        </w:tc>
        <w:tc>
          <w:tcPr>
            <w:tcW w:type="dxa" w:w="1514"/>
          </w:tcPr>
          <w:p>
            <w:pPr>
              <w:spacing w:before="20" w:after="20"/>
            </w:pPr>
            <w:r/>
            <w:r>
              <w:rPr>
                <w:rFonts w:ascii="Verdana" w:hAnsi="Verdana"/>
                <w:b w:val="0"/>
                <w:sz w:val="16"/>
              </w:rPr>
              <w:t>Log10 of cloud optical thickness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Total column water vapour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MWR water vapour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MWR liquid water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Integrated water vapour density</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of integrated cloud particle density</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of integrated cloud particle area</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of integrated cloud particle volume</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 xml:space="preserve">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Ice/liquid water path</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Mass mixing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Soil moisture</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Object wetness duration</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Rate of ice accretion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Ice thickness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B88: Ice thickness (0 13 115) shall be preceded by Surface type (0 08 029) set to 11, 12, 13 or 14 to specify river, lake, sea or glacier, respectively.</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Water film thickness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Snow density (liquid water content)</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Depth of fresh snow (high accuracy)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B41: Depth of fresh snow (0 13 118) set to -0.001 before scaling (-1 after scaling or in CREX) shall indicate a little snow (less than 0.0005 m). Depth of fresh snow(0 13 118) set to -0.002 before scaling (-2 after scaling or in CREX) shall indicate "snow cover not continuous".</w:t>
            </w:r>
          </w:p>
        </w:tc>
      </w:tr>
      <w:tr>
        <w:trPr>
          <w:cantSplit/>
        </w:trPr>
        <w:tc>
          <w:tcPr>
            <w:tcW w:type="dxa" w:w="1514"/>
          </w:tcPr>
          <w:p>
            <w:pPr>
              <w:spacing w:before="20" w:after="20"/>
            </w:pPr>
            <w:r/>
            <w:r>
              <w:rPr>
                <w:rFonts w:ascii="Verdana" w:hAnsi="Verdana"/>
                <w:b w:val="0"/>
                <w:sz w:val="16"/>
              </w:rPr>
              <w:t>0 13 119</w:t>
            </w:r>
          </w:p>
        </w:tc>
        <w:tc>
          <w:tcPr>
            <w:tcW w:type="dxa" w:w="1514"/>
          </w:tcPr>
          <w:p>
            <w:pPr>
              <w:spacing w:before="20" w:after="20"/>
            </w:pPr>
            <w:r/>
            <w:r>
              <w:rPr>
                <w:rFonts w:ascii="Verdana" w:hAnsi="Verdana"/>
                <w:b w:val="0"/>
                <w:sz w:val="16"/>
              </w:rPr>
              <w:t>Snow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B194: In particular on ice sheets and glaciers, snow depth can become negative due to erosion and/or ablation.</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Intensity of precipitation (high accuracy)</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mm/h</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B28: An intensity of precipitation value of -0.00001 kg m-2 s-1 before scaling (-1 after scaling) and of -0.01 mm h-1 before scaling (-1 after scaling) shall indicate a "trace"in BUFR and in CREX, respectively.</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Radiometer liquid content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0 13 161</w:t>
            </w:r>
          </w:p>
        </w:tc>
        <w:tc>
          <w:tcPr>
            <w:tcW w:type="dxa" w:w="1514"/>
          </w:tcPr>
          <w:p>
            <w:pPr>
              <w:spacing w:before="20" w:after="20"/>
            </w:pPr>
            <w:r/>
            <w:r>
              <w:rPr>
                <w:rFonts w:ascii="Verdana" w:hAnsi="Verdana"/>
                <w:b w:val="0"/>
                <w:sz w:val="16"/>
              </w:rPr>
              <w:t>Most unstable convective available potential energy (CAPE)</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Cloud liquid water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Snow water equivalent</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Sea ice freeboard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0 13 165</w:t>
            </w:r>
          </w:p>
        </w:tc>
        <w:tc>
          <w:tcPr>
            <w:tcW w:type="dxa" w:w="1514"/>
          </w:tcPr>
          <w:p>
            <w:pPr>
              <w:spacing w:before="20" w:after="20"/>
            </w:pPr>
            <w:r/>
            <w:r>
              <w:rPr>
                <w:rFonts w:ascii="Verdana" w:hAnsi="Verdana"/>
                <w:b w:val="0"/>
                <w:sz w:val="16"/>
              </w:rPr>
              <w:t>Convective available potential energy (CAPE)</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B186: The convective available potential energy (CAPE) defines the maximum energy available to an ascending air parcel. CAPE is also referred to as positive buoyancy.</w:t>
            </w:r>
          </w:p>
        </w:tc>
      </w:tr>
      <w:tr>
        <w:trPr>
          <w:cantSplit/>
        </w:trPr>
        <w:tc>
          <w:tcPr>
            <w:tcW w:type="dxa" w:w="1514"/>
          </w:tcPr>
          <w:p>
            <w:pPr>
              <w:spacing w:before="20" w:after="20"/>
            </w:pPr>
            <w:r/>
            <w:r>
              <w:rPr>
                <w:rFonts w:ascii="Verdana" w:hAnsi="Verdana"/>
                <w:b w:val="0"/>
                <w:sz w:val="16"/>
              </w:rPr>
              <w:t>0 13 166</w:t>
            </w:r>
          </w:p>
        </w:tc>
        <w:tc>
          <w:tcPr>
            <w:tcW w:type="dxa" w:w="1514"/>
          </w:tcPr>
          <w:p>
            <w:pPr>
              <w:spacing w:before="20" w:after="20"/>
            </w:pPr>
            <w:r/>
            <w:r>
              <w:rPr>
                <w:rFonts w:ascii="Verdana" w:hAnsi="Verdana"/>
                <w:b w:val="0"/>
                <w:sz w:val="16"/>
              </w:rPr>
              <w:t>Total totals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B187: The total totals (TT) index is defined by the combination of the vertical totals (VT = T_850 * T_500) and the cross totals (CT = Td_850 - T_500), resulting in TT = T_850 + Td_850 - 2 * T_500.</w:t>
            </w:r>
          </w:p>
        </w:tc>
      </w:tr>
      <w:tr>
        <w:trPr>
          <w:cantSplit/>
        </w:trPr>
        <w:tc>
          <w:tcPr>
            <w:tcW w:type="dxa" w:w="1514"/>
          </w:tcPr>
          <w:p>
            <w:pPr>
              <w:spacing w:before="20" w:after="20"/>
            </w:pPr>
            <w:r/>
            <w:r>
              <w:rPr>
                <w:rFonts w:ascii="Verdana" w:hAnsi="Verdana"/>
                <w:b w:val="0"/>
                <w:sz w:val="16"/>
              </w:rPr>
              <w:t>0 13 167</w:t>
            </w:r>
          </w:p>
        </w:tc>
        <w:tc>
          <w:tcPr>
            <w:tcW w:type="dxa" w:w="1514"/>
          </w:tcPr>
          <w:p>
            <w:pPr>
              <w:spacing w:before="20" w:after="20"/>
            </w:pPr>
            <w:r/>
            <w:r>
              <w:rPr>
                <w:rFonts w:ascii="Verdana" w:hAnsi="Verdana"/>
                <w:b w:val="0"/>
                <w:sz w:val="16"/>
              </w:rPr>
              <w:t>S index (STT)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B188: The S index (STT) is defined as STT = TT - (T_700 + Td_700) - A, where TT indicates total totals index and A depends on the vertical totals (VT = T_850 * T_500) such that it penalizes cases with low values of VT (that is, low vertical temperature gradients):  A = 0 (if VT &gt; 25); 2 (if 22 &lt;= VT &lt;= 25); 6 (if VT &lt; 22).</w:t>
            </w:r>
          </w:p>
        </w:tc>
      </w:tr>
      <w:tr>
        <w:trPr>
          <w:cantSplit/>
        </w:trPr>
        <w:tc>
          <w:tcPr>
            <w:tcW w:type="dxa" w:w="1514"/>
          </w:tcPr>
          <w:p>
            <w:pPr>
              <w:spacing w:before="20" w:after="20"/>
            </w:pPr>
            <w:r/>
            <w:r>
              <w:rPr>
                <w:rFonts w:ascii="Verdana" w:hAnsi="Verdana"/>
                <w:b w:val="0"/>
                <w:sz w:val="16"/>
              </w:rPr>
              <w:t>0 13 168</w:t>
            </w:r>
          </w:p>
        </w:tc>
        <w:tc>
          <w:tcPr>
            <w:tcW w:type="dxa" w:w="1514"/>
          </w:tcPr>
          <w:p>
            <w:pPr>
              <w:spacing w:before="20" w:after="20"/>
            </w:pPr>
            <w:r/>
            <w:r>
              <w:rPr>
                <w:rFonts w:ascii="Verdana" w:hAnsi="Verdana"/>
                <w:b w:val="0"/>
                <w:sz w:val="16"/>
              </w:rPr>
              <w:t>Fog threat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pPr>
              <w:spacing w:before="20" w:after="20"/>
            </w:pPr>
            <w:r/>
            <w:r>
              <w:rPr>
                <w:rFonts w:ascii="Verdana" w:hAnsi="Verdana"/>
                <w:b w:val="0"/>
                <w:sz w:val="16"/>
              </w:rPr>
              <w:t>0 13 169</w:t>
            </w:r>
          </w:p>
        </w:tc>
        <w:tc>
          <w:tcPr>
            <w:tcW w:type="dxa" w:w="1514"/>
          </w:tcPr>
          <w:p>
            <w:pPr>
              <w:spacing w:before="20" w:after="20"/>
            </w:pPr>
            <w:r/>
            <w:r>
              <w:rPr>
                <w:rFonts w:ascii="Verdana" w:hAnsi="Verdana"/>
                <w:b w:val="0"/>
                <w:sz w:val="16"/>
              </w:rPr>
              <w:t>Microburst day potential index (MDPI)</w:t>
            </w:r>
          </w:p>
        </w:tc>
        <w:tc>
          <w:tcPr>
            <w:tcW w:type="dxa" w:w="1514"/>
          </w:tcPr>
          <w:p>
            <w:pPr>
              <w:spacing w:before="20" w:after="20"/>
            </w:pPr>
            <w:r/>
            <w:r>
              <w:rPr>
                <w:rFonts w:ascii="Verdana" w:hAnsi="Verdana"/>
                <w:sz w:val="16"/>
              </w:rPr>
              <w:t>K/K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B191: The TQ index (TQ) is used to assess the potential for lowtopped convection. It is defined as TQ = (T_850 + Td_850) - 1.7 * (T_700).</w:t>
            </w:r>
          </w:p>
        </w:tc>
      </w:tr>
      <w:tr>
        <w:trPr>
          <w:cantSplit/>
        </w:trPr>
        <w:tc>
          <w:tcPr>
            <w:tcW w:type="dxa" w:w="1514"/>
          </w:tcPr>
          <w:p>
            <w:pPr>
              <w:spacing w:before="20" w:after="20"/>
            </w:pPr>
            <w:r/>
            <w:r>
              <w:rPr>
                <w:rFonts w:ascii="Verdana" w:hAnsi="Verdana"/>
                <w:b w:val="0"/>
                <w:sz w:val="16"/>
              </w:rPr>
              <w:t>0 13 170</w:t>
            </w:r>
          </w:p>
        </w:tc>
        <w:tc>
          <w:tcPr>
            <w:tcW w:type="dxa" w:w="1514"/>
          </w:tcPr>
          <w:p>
            <w:pPr>
              <w:spacing w:before="20" w:after="20"/>
            </w:pPr>
            <w:r/>
            <w:r>
              <w:rPr>
                <w:rFonts w:ascii="Verdana" w:hAnsi="Verdana"/>
                <w:b w:val="0"/>
                <w:sz w:val="16"/>
              </w:rPr>
              <w:t>TQ index</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B190: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pPr>
              <w:spacing w:before="20" w:after="20"/>
            </w:pPr>
            <w:r/>
            <w:r>
              <w:rPr>
                <w:rFonts w:ascii="Verdana" w:hAnsi="Verdana"/>
                <w:b w:val="0"/>
                <w:sz w:val="16"/>
              </w:rPr>
              <w:t>0 13 171</w:t>
            </w:r>
          </w:p>
        </w:tc>
        <w:tc>
          <w:tcPr>
            <w:tcW w:type="dxa" w:w="1514"/>
          </w:tcPr>
          <w:p>
            <w:pPr>
              <w:spacing w:before="20" w:after="20"/>
            </w:pPr>
            <w:r/>
            <w:r>
              <w:rPr>
                <w:rFonts w:ascii="Verdana" w:hAnsi="Verdana"/>
                <w:b w:val="0"/>
                <w:sz w:val="16"/>
              </w:rPr>
              <w:t>CIN (convective inhibition)</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J/kg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B192: The convective inhibition (CIN) indicates the amount of energy required to overcome the negatively buoyant energy the environment exerts on an air parcel. Conceptually, CIN is the opposite of CAPE, and CIN is also referred to as negative buoyancy.</w:t>
            </w:r>
          </w:p>
        </w:tc>
      </w:tr>
    </w:tbl>
    <w:p/>
    <w:p>
      <w:r>
        <w:rPr>
          <w:rFonts w:ascii="Verdana" w:hAnsi="Verdana"/>
          <w:i/>
          <w:sz w:val="14"/>
        </w:rPr>
        <w:t>Note B23: A precipitation value of -0.1 kg m-2 before scaling (-1 after scaling or in CREX) shall indicate a "trace" (non-measurable, less than 0.05 kg m-2).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