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 14: Radiation and radiance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1514"/>
        <w:gridCol w:w="1514"/>
        <w:gridCol w:w="1514"/>
        <w:gridCol w:w="1514"/>
        <w:gridCol w:w="1514"/>
        <w:gridCol w:w="1514"/>
        <w:gridCol w:w="1514"/>
        <w:gridCol w:w="1514"/>
        <w:gridCol w:w="1514"/>
        <w:gridCol w:w="1514"/>
      </w:tblGrid>
      <w:tr>
        <w:trPr>
          <w:tblHeader/>
        </w:trPr>
        <w:tc>
          <w:tcPr>
            <w:tcW w:type="dxa" w:w="1514"/>
            <w:shd w:val="clear" w:color="auto" w:fill="D9D9D9"/>
          </w:tcPr>
          <w:p>
            <w:pPr>
              <w:spacing w:before="20" w:after="20"/>
            </w:pPr>
            <w:r/>
            <w:r>
              <w:rPr>
                <w:rFonts w:ascii="Verdana" w:hAnsi="Verdana"/>
                <w:b w:val="0"/>
                <w:sz w:val="16"/>
              </w:rPr>
              <w:t>FXY</w:t>
            </w:r>
          </w:p>
        </w:tc>
        <w:tc>
          <w:tcPr>
            <w:tcW w:type="dxa" w:w="1514"/>
            <w:shd w:val="clear" w:color="auto" w:fill="D9D9D9"/>
          </w:tcPr>
          <w:p>
            <w:pPr>
              <w:spacing w:before="20" w:after="20"/>
            </w:pPr>
            <w:r/>
            <w:r>
              <w:rPr>
                <w:rFonts w:ascii="Verdana" w:hAnsi="Verdana"/>
                <w:b w:val="0"/>
                <w:sz w:val="16"/>
              </w:rPr>
              <w:t>ELEMENT NAME</w:t>
            </w:r>
          </w:p>
        </w:tc>
        <w:tc>
          <w:tcPr>
            <w:tcW w:type="dxa" w:w="1514"/>
            <w:shd w:val="clear" w:color="auto" w:fill="D9D9D9"/>
          </w:tcPr>
          <w:p>
            <w:pPr>
              <w:spacing w:before="20" w:after="20"/>
            </w:pPr>
            <w:r/>
            <w:r>
              <w:rPr>
                <w:rFonts w:ascii="Verdana" w:hAnsi="Verdana"/>
                <w:b w:val="0"/>
                <w:sz w:val="16"/>
              </w:rPr>
              <w:t>BUFR UNIT</w:t>
            </w:r>
          </w:p>
        </w:tc>
        <w:tc>
          <w:tcPr>
            <w:tcW w:type="dxa" w:w="1514"/>
            <w:shd w:val="clear" w:color="auto" w:fill="D9D9D9"/>
          </w:tcPr>
          <w:p>
            <w:pPr>
              <w:spacing w:before="20" w:after="20"/>
            </w:pPr>
            <w:r/>
            <w:r>
              <w:rPr>
                <w:rFonts w:ascii="Verdana" w:hAnsi="Verdana"/>
                <w:b w:val="0"/>
                <w:sz w:val="16"/>
              </w:rPr>
              <w:t>SCALE</w:t>
            </w:r>
          </w:p>
        </w:tc>
        <w:tc>
          <w:tcPr>
            <w:tcW w:type="dxa" w:w="1514"/>
            <w:shd w:val="clear" w:color="auto" w:fill="D9D9D9"/>
          </w:tcPr>
          <w:p>
            <w:pPr>
              <w:spacing w:before="20" w:after="20"/>
            </w:pPr>
            <w:r/>
            <w:r>
              <w:rPr>
                <w:rFonts w:ascii="Verdana" w:hAnsi="Verdana"/>
                <w:b w:val="0"/>
                <w:sz w:val="16"/>
              </w:rPr>
              <w:t>REF VALUE</w:t>
            </w:r>
          </w:p>
        </w:tc>
        <w:tc>
          <w:tcPr>
            <w:tcW w:type="dxa" w:w="1514"/>
            <w:shd w:val="clear" w:color="auto" w:fill="D9D9D9"/>
          </w:tcPr>
          <w:p>
            <w:pPr>
              <w:spacing w:before="20" w:after="20"/>
            </w:pPr>
            <w:r/>
            <w:r>
              <w:rPr>
                <w:rFonts w:ascii="Verdana" w:hAnsi="Verdana"/>
                <w:b w:val="0"/>
                <w:sz w:val="16"/>
              </w:rPr>
              <w:t>BITS</w:t>
            </w:r>
          </w:p>
        </w:tc>
        <w:tc>
          <w:tcPr>
            <w:tcW w:type="dxa" w:w="1514"/>
            <w:shd w:val="clear" w:color="auto" w:fill="D9D9D9"/>
          </w:tcPr>
          <w:p>
            <w:pPr>
              <w:spacing w:before="20" w:after="20"/>
            </w:pPr>
            <w:r/>
            <w:r>
              <w:rPr>
                <w:rFonts w:ascii="Verdana" w:hAnsi="Verdana"/>
                <w:b w:val="0"/>
                <w:sz w:val="16"/>
              </w:rPr>
              <w:t>CREX UNIT</w:t>
            </w:r>
          </w:p>
        </w:tc>
        <w:tc>
          <w:tcPr>
            <w:tcW w:type="dxa" w:w="1514"/>
            <w:shd w:val="clear" w:color="auto" w:fill="D9D9D9"/>
          </w:tcPr>
          <w:p>
            <w:pPr>
              <w:spacing w:before="20" w:after="20"/>
            </w:pPr>
            <w:r/>
            <w:r>
              <w:rPr>
                <w:rFonts w:ascii="Verdana" w:hAnsi="Verdana"/>
                <w:b w:val="0"/>
                <w:sz w:val="16"/>
              </w:rPr>
              <w:t>SCALE</w:t>
            </w:r>
          </w:p>
        </w:tc>
        <w:tc>
          <w:tcPr>
            <w:tcW w:type="dxa" w:w="1514"/>
            <w:shd w:val="clear" w:color="auto" w:fill="D9D9D9"/>
          </w:tcPr>
          <w:p>
            <w:pPr>
              <w:spacing w:before="20" w:after="20"/>
            </w:pPr>
            <w:r/>
            <w:r>
              <w:rPr>
                <w:rFonts w:ascii="Verdana" w:hAnsi="Verdana"/>
                <w:b w:val="0"/>
                <w:sz w:val="16"/>
              </w:rPr>
              <w:t>CHARS</w:t>
            </w:r>
          </w:p>
        </w:tc>
        <w:tc>
          <w:tcPr>
            <w:tcW w:type="dxa" w:w="1514"/>
            <w:shd w:val="clear" w:color="auto" w:fill="D9D9D9"/>
          </w:tcPr>
          <w:p>
            <w:pPr>
              <w:spacing w:before="20" w:after="20"/>
            </w:pPr>
            <w:r/>
            <w:r>
              <w:rPr>
                <w:rFonts w:ascii="Verdana" w:hAnsi="Verdana"/>
                <w:b w:val="0"/>
                <w:sz w:val="16"/>
              </w:rPr>
              <w:t>NOTE</w:t>
            </w:r>
          </w:p>
        </w:tc>
      </w:tr>
      <w:tr>
        <w:trPr>
          <w:cantSplit/>
        </w:trPr>
        <w:tc>
          <w:tcPr>
            <w:tcW w:type="dxa" w:w="1514"/>
          </w:tcPr>
          <w:p>
            <w:pPr>
              <w:spacing w:before="20" w:after="20"/>
            </w:pPr>
            <w:r/>
            <w:r>
              <w:rPr>
                <w:rFonts w:ascii="Verdana" w:hAnsi="Verdana"/>
                <w:b w:val="0"/>
                <w:sz w:val="16"/>
              </w:rPr>
              <w:t>0 14 001</w:t>
            </w:r>
          </w:p>
        </w:tc>
        <w:tc>
          <w:tcPr>
            <w:tcW w:type="dxa" w:w="1514"/>
          </w:tcPr>
          <w:p>
            <w:pPr>
              <w:spacing w:before="20" w:after="20"/>
            </w:pPr>
            <w:r/>
            <w:r>
              <w:rPr>
                <w:rFonts w:ascii="Verdana" w:hAnsi="Verdana"/>
                <w:b w:val="0"/>
                <w:sz w:val="16"/>
              </w:rPr>
              <w:t>Long-wave radiation, integrated over 24 hours</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-65536</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0 14 002</w:t>
            </w:r>
          </w:p>
        </w:tc>
        <w:tc>
          <w:tcPr>
            <w:tcW w:type="dxa" w:w="1514"/>
          </w:tcPr>
          <w:p>
            <w:pPr>
              <w:spacing w:before="20" w:after="20"/>
            </w:pPr>
            <w:r/>
            <w:r>
              <w:rPr>
                <w:rFonts w:ascii="Verdana" w:hAnsi="Verdana"/>
                <w:b w:val="0"/>
                <w:sz w:val="16"/>
              </w:rPr>
              <w:t>Long-wave radiation, integrated over period specified</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-65536</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0 14 003</w:t>
            </w:r>
          </w:p>
        </w:tc>
        <w:tc>
          <w:tcPr>
            <w:tcW w:type="dxa" w:w="1514"/>
          </w:tcPr>
          <w:p>
            <w:pPr>
              <w:spacing w:before="20" w:after="20"/>
            </w:pPr>
            <w:r/>
            <w:r>
              <w:rPr>
                <w:rFonts w:ascii="Verdana" w:hAnsi="Verdana"/>
                <w:b w:val="0"/>
                <w:sz w:val="16"/>
              </w:rPr>
              <w:t>Short-wave radiation, integrated over 24 hours</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-65536</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0 14 004</w:t>
            </w:r>
          </w:p>
        </w:tc>
        <w:tc>
          <w:tcPr>
            <w:tcW w:type="dxa" w:w="1514"/>
          </w:tcPr>
          <w:p>
            <w:pPr>
              <w:spacing w:before="20" w:after="20"/>
            </w:pPr>
            <w:r/>
            <w:r>
              <w:rPr>
                <w:rFonts w:ascii="Verdana" w:hAnsi="Verdana"/>
                <w:b w:val="0"/>
                <w:sz w:val="16"/>
              </w:rPr>
              <w:t>Short-wave radiation, integrated over period specified</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-65536</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0 14 011</w:t>
            </w:r>
          </w:p>
        </w:tc>
        <w:tc>
          <w:tcPr>
            <w:tcW w:type="dxa" w:w="1514"/>
          </w:tcPr>
          <w:p>
            <w:pPr>
              <w:spacing w:before="20" w:after="20"/>
            </w:pPr>
            <w:r/>
            <w:r>
              <w:rPr>
                <w:rFonts w:ascii="Verdana" w:hAnsi="Verdana"/>
                <w:b w:val="0"/>
                <w:sz w:val="16"/>
              </w:rPr>
              <w:t>Net long-wave radiation, integrated over 24 hours</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-65536</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0 14 012</w:t>
            </w:r>
          </w:p>
        </w:tc>
        <w:tc>
          <w:tcPr>
            <w:tcW w:type="dxa" w:w="1514"/>
          </w:tcPr>
          <w:p>
            <w:pPr>
              <w:spacing w:before="20" w:after="20"/>
            </w:pPr>
            <w:r/>
            <w:r>
              <w:rPr>
                <w:rFonts w:ascii="Verdana" w:hAnsi="Verdana"/>
                <w:b w:val="0"/>
                <w:sz w:val="16"/>
              </w:rPr>
              <w:t>Net long-wave radiation, integrated over period specified</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-65536</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0 14 013</w:t>
            </w:r>
          </w:p>
        </w:tc>
        <w:tc>
          <w:tcPr>
            <w:tcW w:type="dxa" w:w="1514"/>
          </w:tcPr>
          <w:p>
            <w:pPr>
              <w:spacing w:before="20" w:after="20"/>
            </w:pPr>
            <w:r/>
            <w:r>
              <w:rPr>
                <w:rFonts w:ascii="Verdana" w:hAnsi="Verdana"/>
                <w:b w:val="0"/>
                <w:sz w:val="16"/>
              </w:rPr>
              <w:t>Net short-wave radiation, integrated over 24 hours</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-65536</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0 14 014</w:t>
            </w:r>
          </w:p>
        </w:tc>
        <w:tc>
          <w:tcPr>
            <w:tcW w:type="dxa" w:w="1514"/>
          </w:tcPr>
          <w:p>
            <w:pPr>
              <w:spacing w:before="20" w:after="20"/>
            </w:pPr>
            <w:r/>
            <w:r>
              <w:rPr>
                <w:rFonts w:ascii="Verdana" w:hAnsi="Verdana"/>
                <w:b w:val="0"/>
                <w:sz w:val="16"/>
              </w:rPr>
              <w:t>Net short-wave radiation, integrated over period specified</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-65536</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0 14 015</w:t>
            </w:r>
          </w:p>
        </w:tc>
        <w:tc>
          <w:tcPr>
            <w:tcW w:type="dxa" w:w="1514"/>
          </w:tcPr>
          <w:p>
            <w:pPr>
              <w:spacing w:before="20" w:after="20"/>
            </w:pPr>
            <w:r/>
            <w:r>
              <w:rPr>
                <w:rFonts w:ascii="Verdana" w:hAnsi="Verdana"/>
                <w:b w:val="0"/>
                <w:sz w:val="16"/>
              </w:rPr>
              <w:t>Net radiation, integrated over 24 hours</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-16384</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0 14 016</w:t>
            </w:r>
          </w:p>
        </w:tc>
        <w:tc>
          <w:tcPr>
            <w:tcW w:type="dxa" w:w="1514"/>
          </w:tcPr>
          <w:p>
            <w:pPr>
              <w:spacing w:before="20" w:after="20"/>
            </w:pPr>
            <w:r/>
            <w:r>
              <w:rPr>
                <w:rFonts w:ascii="Verdana" w:hAnsi="Verdana"/>
                <w:b w:val="0"/>
                <w:sz w:val="16"/>
              </w:rPr>
              <w:t>Net radiation, integrated over period specified</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-16384</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0 14 017</w:t>
            </w:r>
          </w:p>
        </w:tc>
        <w:tc>
          <w:tcPr>
            <w:tcW w:type="dxa" w:w="1514"/>
          </w:tcPr>
          <w:p>
            <w:pPr>
              <w:spacing w:before="20" w:after="20"/>
            </w:pPr>
            <w:r/>
            <w:r>
              <w:rPr>
                <w:rFonts w:ascii="Verdana" w:hAnsi="Verdana"/>
                <w:b w:val="0"/>
                <w:sz w:val="16"/>
              </w:rPr>
              <w:t>Instantaneous long-wave radiation</w:t>
            </w:r>
          </w:p>
        </w:tc>
        <w:tc>
          <w:tcPr>
            <w:tcW w:type="dxa" w:w="1514"/>
          </w:tcPr>
          <w:p>
            <w:pPr>
              <w:spacing w:before="20" w:after="20"/>
            </w:pPr>
            <w:r/>
            <w:r>
              <w:rPr>
                <w:rFonts w:ascii="Verdana" w:hAnsi="Verdana"/>
                <w:sz w:val="16"/>
              </w:rPr>
              <w:t>W 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-512</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W 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0 14 018</w:t>
            </w:r>
          </w:p>
        </w:tc>
        <w:tc>
          <w:tcPr>
            <w:tcW w:type="dxa" w:w="1514"/>
          </w:tcPr>
          <w:p>
            <w:pPr>
              <w:spacing w:before="20" w:after="20"/>
            </w:pPr>
            <w:r/>
            <w:r>
              <w:rPr>
                <w:rFonts w:ascii="Verdana" w:hAnsi="Verdana"/>
                <w:b w:val="0"/>
                <w:sz w:val="16"/>
              </w:rPr>
              <w:t>Instantaneous short-wave radiation</w:t>
            </w:r>
          </w:p>
        </w:tc>
        <w:tc>
          <w:tcPr>
            <w:tcW w:type="dxa" w:w="1514"/>
          </w:tcPr>
          <w:p>
            <w:pPr>
              <w:spacing w:before="20" w:after="20"/>
            </w:pPr>
            <w:r/>
            <w:r>
              <w:rPr>
                <w:rFonts w:ascii="Verdana" w:hAnsi="Verdana"/>
                <w:sz w:val="16"/>
              </w:rPr>
              <w:t>W 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-2048</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W 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0 14 019</w:t>
            </w:r>
          </w:p>
        </w:tc>
        <w:tc>
          <w:tcPr>
            <w:tcW w:type="dxa" w:w="1514"/>
          </w:tcPr>
          <w:p>
            <w:pPr>
              <w:spacing w:before="20" w:after="20"/>
            </w:pPr>
            <w:r/>
            <w:r>
              <w:rPr>
                <w:rFonts w:ascii="Verdana" w:hAnsi="Verdana"/>
                <w:b w:val="0"/>
                <w:sz w:val="16"/>
              </w:rPr>
              <w:t>Surface albedo</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0 14 020</w:t>
            </w:r>
          </w:p>
        </w:tc>
        <w:tc>
          <w:tcPr>
            <w:tcW w:type="dxa" w:w="1514"/>
          </w:tcPr>
          <w:p>
            <w:pPr>
              <w:spacing w:before="20" w:after="20"/>
            </w:pPr>
            <w:r/>
            <w:r>
              <w:rPr>
                <w:rFonts w:ascii="Verdana" w:hAnsi="Verdana"/>
                <w:b w:val="0"/>
                <w:sz w:val="16"/>
              </w:rPr>
              <w:t>Global solar radiation, integrated over 24 hours</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0 14 021</w:t>
            </w:r>
          </w:p>
        </w:tc>
        <w:tc>
          <w:tcPr>
            <w:tcW w:type="dxa" w:w="1514"/>
          </w:tcPr>
          <w:p>
            <w:pPr>
              <w:spacing w:before="20" w:after="20"/>
            </w:pPr>
            <w:r/>
            <w:r>
              <w:rPr>
                <w:rFonts w:ascii="Verdana" w:hAnsi="Verdana"/>
                <w:b w:val="0"/>
                <w:sz w:val="16"/>
              </w:rPr>
              <w:t>Global solar radiation, integrated over period specified</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0 14 022</w:t>
            </w:r>
          </w:p>
        </w:tc>
        <w:tc>
          <w:tcPr>
            <w:tcW w:type="dxa" w:w="1514"/>
          </w:tcPr>
          <w:p>
            <w:pPr>
              <w:spacing w:before="20" w:after="20"/>
            </w:pPr>
            <w:r/>
            <w:r>
              <w:rPr>
                <w:rFonts w:ascii="Verdana" w:hAnsi="Verdana"/>
                <w:b w:val="0"/>
                <w:sz w:val="16"/>
              </w:rPr>
              <w:t>Diffuse solar radiation, integrated over 24 hours</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0 14 023</w:t>
            </w:r>
          </w:p>
        </w:tc>
        <w:tc>
          <w:tcPr>
            <w:tcW w:type="dxa" w:w="1514"/>
          </w:tcPr>
          <w:p>
            <w:pPr>
              <w:spacing w:before="20" w:after="20"/>
            </w:pPr>
            <w:r/>
            <w:r>
              <w:rPr>
                <w:rFonts w:ascii="Verdana" w:hAnsi="Verdana"/>
                <w:b w:val="0"/>
                <w:sz w:val="16"/>
              </w:rPr>
              <w:t>Diffuse solar radiation, integrated over period specified</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0 14 024</w:t>
            </w:r>
          </w:p>
        </w:tc>
        <w:tc>
          <w:tcPr>
            <w:tcW w:type="dxa" w:w="1514"/>
          </w:tcPr>
          <w:p>
            <w:pPr>
              <w:spacing w:before="20" w:after="20"/>
            </w:pPr>
            <w:r/>
            <w:r>
              <w:rPr>
                <w:rFonts w:ascii="Verdana" w:hAnsi="Verdana"/>
                <w:b w:val="0"/>
                <w:sz w:val="16"/>
              </w:rPr>
              <w:t>Direct solar radiation, integrated over 24 hours</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0 14 025</w:t>
            </w:r>
          </w:p>
        </w:tc>
        <w:tc>
          <w:tcPr>
            <w:tcW w:type="dxa" w:w="1514"/>
          </w:tcPr>
          <w:p>
            <w:pPr>
              <w:spacing w:before="20" w:after="20"/>
            </w:pPr>
            <w:r/>
            <w:r>
              <w:rPr>
                <w:rFonts w:ascii="Verdana" w:hAnsi="Verdana"/>
                <w:b w:val="0"/>
                <w:sz w:val="16"/>
              </w:rPr>
              <w:t>Direct solar radiation, integrated over period specified</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0 14 026</w:t>
            </w:r>
          </w:p>
        </w:tc>
        <w:tc>
          <w:tcPr>
            <w:tcW w:type="dxa" w:w="1514"/>
          </w:tcPr>
          <w:p>
            <w:pPr>
              <w:spacing w:before="20" w:after="20"/>
            </w:pPr>
            <w:r/>
            <w:r>
              <w:rPr>
                <w:rFonts w:ascii="Verdana" w:hAnsi="Verdana"/>
                <w:b w:val="0"/>
                <w:sz w:val="16"/>
              </w:rPr>
              <w:t>Albedo at the top of clouds</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0 14 027</w:t>
            </w:r>
          </w:p>
        </w:tc>
        <w:tc>
          <w:tcPr>
            <w:tcW w:type="dxa" w:w="1514"/>
          </w:tcPr>
          <w:p>
            <w:pPr>
              <w:spacing w:before="20" w:after="20"/>
            </w:pPr>
            <w:r/>
            <w:r>
              <w:rPr>
                <w:rFonts w:ascii="Verdana" w:hAnsi="Verdana"/>
                <w:b w:val="0"/>
                <w:sz w:val="16"/>
              </w:rPr>
              <w:t>Albedo</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0 14 028</w:t>
            </w:r>
          </w:p>
        </w:tc>
        <w:tc>
          <w:tcPr>
            <w:tcW w:type="dxa" w:w="1514"/>
          </w:tcPr>
          <w:p>
            <w:pPr>
              <w:spacing w:before="20" w:after="20"/>
            </w:pPr>
            <w:r/>
            <w:r>
              <w:rPr>
                <w:rFonts w:ascii="Verdana" w:hAnsi="Verdana"/>
                <w:b w:val="0"/>
                <w:sz w:val="16"/>
              </w:rPr>
              <w:t>Global solar radiation (high accuracy), integrated over period specified</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0 14 029</w:t>
            </w:r>
          </w:p>
        </w:tc>
        <w:tc>
          <w:tcPr>
            <w:tcW w:type="dxa" w:w="1514"/>
          </w:tcPr>
          <w:p>
            <w:pPr>
              <w:spacing w:before="20" w:after="20"/>
            </w:pPr>
            <w:r/>
            <w:r>
              <w:rPr>
                <w:rFonts w:ascii="Verdana" w:hAnsi="Verdana"/>
                <w:b w:val="0"/>
                <w:sz w:val="16"/>
              </w:rPr>
              <w:t>Diffuse solar radiation (high accuracy), integrated over period specified</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0 14 030</w:t>
            </w:r>
          </w:p>
        </w:tc>
        <w:tc>
          <w:tcPr>
            <w:tcW w:type="dxa" w:w="1514"/>
          </w:tcPr>
          <w:p>
            <w:pPr>
              <w:spacing w:before="20" w:after="20"/>
            </w:pPr>
            <w:r/>
            <w:r>
              <w:rPr>
                <w:rFonts w:ascii="Verdana" w:hAnsi="Verdana"/>
                <w:b w:val="0"/>
                <w:sz w:val="16"/>
              </w:rPr>
              <w:t>Direct solar radiation (high accuracy), integrated over period specified</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0 14 031</w:t>
            </w:r>
          </w:p>
        </w:tc>
        <w:tc>
          <w:tcPr>
            <w:tcW w:type="dxa" w:w="1514"/>
          </w:tcPr>
          <w:p>
            <w:pPr>
              <w:spacing w:before="20" w:after="20"/>
            </w:pPr>
            <w:r/>
            <w:r>
              <w:rPr>
                <w:rFonts w:ascii="Verdana" w:hAnsi="Verdana"/>
                <w:b w:val="0"/>
                <w:sz w:val="16"/>
              </w:rPr>
              <w:t>Total sunshine</w:t>
            </w:r>
          </w:p>
        </w:tc>
        <w:tc>
          <w:tcPr>
            <w:tcW w:type="dxa" w:w="1514"/>
          </w:tcPr>
          <w:p>
            <w:pPr>
              <w:spacing w:before="20" w:after="20"/>
            </w:pPr>
            <w:r/>
            <w:r>
              <w:rPr>
                <w:rFonts w:ascii="Verdana" w:hAnsi="Verdana"/>
                <w:sz w:val="16"/>
              </w:rPr>
              <w:t>min</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min</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0 14 032</w:t>
            </w:r>
          </w:p>
        </w:tc>
        <w:tc>
          <w:tcPr>
            <w:tcW w:type="dxa" w:w="1514"/>
          </w:tcPr>
          <w:p>
            <w:pPr>
              <w:spacing w:before="20" w:after="20"/>
            </w:pPr>
            <w:r/>
            <w:r>
              <w:rPr>
                <w:rFonts w:ascii="Verdana" w:hAnsi="Verdana"/>
                <w:b w:val="0"/>
                <w:sz w:val="16"/>
              </w:rPr>
              <w:t>Total sunshine</w:t>
            </w:r>
          </w:p>
        </w:tc>
        <w:tc>
          <w:tcPr>
            <w:tcW w:type="dxa" w:w="1514"/>
          </w:tcPr>
          <w:p>
            <w:pPr>
              <w:spacing w:before="20" w:after="20"/>
            </w:pPr>
            <w:r/>
            <w:r>
              <w:rPr>
                <w:rFonts w:ascii="Verdana" w:hAnsi="Verdana"/>
                <w:sz w:val="16"/>
              </w:rPr>
              <w:t>h</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h</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0 14 033</w:t>
            </w:r>
          </w:p>
        </w:tc>
        <w:tc>
          <w:tcPr>
            <w:tcW w:type="dxa" w:w="1514"/>
          </w:tcPr>
          <w:p>
            <w:pPr>
              <w:spacing w:before="20" w:after="20"/>
            </w:pPr>
            <w:r/>
            <w:r>
              <w:rPr>
                <w:rFonts w:ascii="Verdana" w:hAnsi="Verdana"/>
                <w:b w:val="0"/>
                <w:sz w:val="16"/>
              </w:rPr>
              <w:t>Total sunshine</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0 14 034</w:t>
            </w:r>
          </w:p>
        </w:tc>
        <w:tc>
          <w:tcPr>
            <w:tcW w:type="dxa" w:w="1514"/>
          </w:tcPr>
          <w:p>
            <w:pPr>
              <w:spacing w:before="20" w:after="20"/>
            </w:pPr>
            <w:r/>
            <w:r>
              <w:rPr>
                <w:rFonts w:ascii="Verdana" w:hAnsi="Verdana"/>
                <w:b w:val="0"/>
                <w:sz w:val="16"/>
              </w:rPr>
              <w:t>Sunshine over period specified</w:t>
            </w:r>
          </w:p>
        </w:tc>
        <w:tc>
          <w:tcPr>
            <w:tcW w:type="dxa" w:w="1514"/>
          </w:tcPr>
          <w:p>
            <w:pPr>
              <w:spacing w:before="20" w:after="20"/>
            </w:pPr>
            <w:r/>
            <w:r>
              <w:rPr>
                <w:rFonts w:ascii="Verdana" w:hAnsi="Verdana"/>
                <w:sz w:val="16"/>
              </w:rPr>
              <w:t>min</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min</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0 14 035</w:t>
            </w:r>
          </w:p>
        </w:tc>
        <w:tc>
          <w:tcPr>
            <w:tcW w:type="dxa" w:w="1514"/>
          </w:tcPr>
          <w:p>
            <w:pPr>
              <w:spacing w:before="20" w:after="20"/>
            </w:pPr>
            <w:r/>
            <w:r>
              <w:rPr>
                <w:rFonts w:ascii="Verdana" w:hAnsi="Verdana"/>
                <w:b w:val="0"/>
                <w:sz w:val="16"/>
              </w:rPr>
              <w:t>Solar radiation flux</w:t>
            </w:r>
          </w:p>
        </w:tc>
        <w:tc>
          <w:tcPr>
            <w:tcW w:type="dxa" w:w="1514"/>
          </w:tcPr>
          <w:p>
            <w:pPr>
              <w:spacing w:before="20" w:after="20"/>
            </w:pPr>
            <w:r/>
            <w:r>
              <w:rPr>
                <w:rFonts w:ascii="Verdana" w:hAnsi="Verdana"/>
                <w:sz w:val="16"/>
              </w:rPr>
              <w:t>W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W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0 14 042</w:t>
            </w:r>
          </w:p>
        </w:tc>
        <w:tc>
          <w:tcPr>
            <w:tcW w:type="dxa" w:w="1514"/>
          </w:tcPr>
          <w:p>
            <w:pPr>
              <w:spacing w:before="20" w:after="20"/>
            </w:pPr>
            <w:r/>
            <w:r>
              <w:rPr>
                <w:rFonts w:ascii="Verdana" w:hAnsi="Verdana"/>
                <w:b w:val="0"/>
                <w:sz w:val="16"/>
              </w:rPr>
              <w:t>Bidirectional reflectance</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0 14 043</w:t>
            </w:r>
          </w:p>
        </w:tc>
        <w:tc>
          <w:tcPr>
            <w:tcW w:type="dxa" w:w="1514"/>
          </w:tcPr>
          <w:p>
            <w:pPr>
              <w:spacing w:before="20" w:after="20"/>
            </w:pPr>
            <w:r/>
            <w:r>
              <w:rPr>
                <w:rFonts w:ascii="Verdana" w:hAnsi="Verdana"/>
                <w:b w:val="0"/>
                <w:sz w:val="16"/>
              </w:rPr>
              <w:t>Channel radiance</w:t>
            </w:r>
          </w:p>
        </w:tc>
        <w:tc>
          <w:tcPr>
            <w:tcW w:type="dxa" w:w="1514"/>
          </w:tcPr>
          <w:p>
            <w:pPr>
              <w:spacing w:before="20" w:after="20"/>
            </w:pPr>
            <w:r/>
            <w:r>
              <w:rPr>
                <w:rFonts w:ascii="Verdana" w:hAnsi="Verdana"/>
                <w:sz w:val="16"/>
              </w:rPr>
              <w:t>W m</w:t>
            </w:r>
            <w:r>
              <w:rPr>
                <w:rFonts w:ascii="Verdana" w:hAnsi="Verdana"/>
                <w:sz w:val="16"/>
                <w:vertAlign w:val="superscript"/>
              </w:rPr>
              <w:t>-2</w:t>
            </w:r>
            <w:r>
              <w:rPr>
                <w:rFonts w:ascii="Verdana" w:hAnsi="Verdana"/>
                <w:sz w:val="16"/>
              </w:rPr>
              <w:t xml:space="preserve"> sr</w:t>
            </w:r>
            <w:r>
              <w:rPr>
                <w:rFonts w:ascii="Verdana" w:hAnsi="Verdana"/>
                <w:sz w:val="16"/>
                <w:vertAlign w:val="superscript"/>
              </w:rPr>
              <w:t>-1</w:t>
            </w:r>
            <w:r>
              <w:rPr>
                <w:rFonts w:ascii="Verdana" w:hAnsi="Verdana"/>
                <w:sz w:val="16"/>
              </w:rPr>
              <w:t xml:space="preserve"> um</w:t>
            </w:r>
            <w:r>
              <w:rPr>
                <w:rFonts w:ascii="Verdana" w:hAnsi="Verdana"/>
                <w:sz w:val="16"/>
                <w:vertAlign w:val="superscript"/>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23</w:t>
            </w:r>
          </w:p>
        </w:tc>
        <w:tc>
          <w:tcPr>
            <w:tcW w:type="dxa" w:w="1514"/>
          </w:tcPr>
          <w:p>
            <w:pPr>
              <w:spacing w:before="20" w:after="20"/>
            </w:pPr>
            <w:r/>
            <w:r>
              <w:rPr>
                <w:rFonts w:ascii="Verdana" w:hAnsi="Verdana"/>
                <w:sz w:val="16"/>
              </w:rPr>
              <w:t>W m</w:t>
            </w:r>
            <w:r>
              <w:rPr>
                <w:rFonts w:ascii="Verdana" w:hAnsi="Verdana"/>
                <w:sz w:val="16"/>
                <w:vertAlign w:val="superscript"/>
              </w:rPr>
              <w:t>-2</w:t>
            </w:r>
            <w:r>
              <w:rPr>
                <w:rFonts w:ascii="Verdana" w:hAnsi="Verdana"/>
                <w:sz w:val="16"/>
              </w:rPr>
              <w:t xml:space="preserve"> sr</w:t>
            </w:r>
            <w:r>
              <w:rPr>
                <w:rFonts w:ascii="Verdana" w:hAnsi="Verdana"/>
                <w:sz w:val="16"/>
                <w:vertAlign w:val="superscript"/>
              </w:rPr>
              <w:t>-1</w:t>
            </w:r>
            <w:r>
              <w:rPr>
                <w:rFonts w:ascii="Verdana" w:hAnsi="Verdana"/>
                <w:sz w:val="16"/>
              </w:rPr>
              <w:t xml:space="preserve"> um</w:t>
            </w:r>
            <w:r>
              <w:rPr>
                <w:rFonts w:ascii="Verdana" w:hAnsi="Verdana"/>
                <w:sz w:val="16"/>
                <w:vertAlign w:val="superscript"/>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t>Note B35: Channel radiance (0 14 043) uses μm to represent the wave number.</w:t>
            </w:r>
          </w:p>
        </w:tc>
      </w:tr>
      <w:tr>
        <w:trPr>
          <w:cantSplit/>
        </w:trPr>
        <w:tc>
          <w:tcPr>
            <w:tcW w:type="dxa" w:w="1514"/>
          </w:tcPr>
          <w:p>
            <w:pPr>
              <w:spacing w:before="20" w:after="20"/>
            </w:pPr>
            <w:r/>
            <w:r>
              <w:rPr>
                <w:rFonts w:ascii="Verdana" w:hAnsi="Verdana"/>
                <w:b w:val="0"/>
                <w:sz w:val="16"/>
              </w:rPr>
              <w:t>0 14 044</w:t>
            </w:r>
          </w:p>
        </w:tc>
        <w:tc>
          <w:tcPr>
            <w:tcW w:type="dxa" w:w="1514"/>
          </w:tcPr>
          <w:p>
            <w:pPr>
              <w:spacing w:before="20" w:after="20"/>
            </w:pPr>
            <w:r/>
            <w:r>
              <w:rPr>
                <w:rFonts w:ascii="Verdana" w:hAnsi="Verdana"/>
                <w:b w:val="0"/>
                <w:sz w:val="16"/>
              </w:rPr>
              <w:t>Channel radiance</w:t>
            </w:r>
          </w:p>
        </w:tc>
        <w:tc>
          <w:tcPr>
            <w:tcW w:type="dxa" w:w="1514"/>
          </w:tcPr>
          <w:p>
            <w:pPr>
              <w:spacing w:before="20" w:after="20"/>
            </w:pPr>
            <w:r/>
            <w:r>
              <w:rPr>
                <w:rFonts w:ascii="Verdana" w:hAnsi="Verdana"/>
                <w:sz w:val="16"/>
              </w:rPr>
              <w:t>W m</w:t>
            </w:r>
            <w:r>
              <w:rPr>
                <w:rFonts w:ascii="Verdana" w:hAnsi="Verdana"/>
                <w:sz w:val="16"/>
                <w:vertAlign w:val="superscript"/>
              </w:rPr>
              <w:t>-2</w:t>
            </w:r>
            <w:r>
              <w:rPr>
                <w:rFonts w:ascii="Verdana" w:hAnsi="Verdana"/>
                <w:sz w:val="16"/>
              </w:rPr>
              <w:t xml:space="preserve"> sr</w:t>
            </w:r>
            <w:r>
              <w:rPr>
                <w:rFonts w:ascii="Verdana" w:hAnsi="Verdana"/>
                <w:sz w:val="16"/>
                <w:vertAlign w:val="superscript"/>
              </w:rPr>
              <w:t>-1</w:t>
            </w:r>
            <w:r>
              <w:rPr>
                <w:rFonts w:ascii="Verdana" w:hAnsi="Verdana"/>
                <w:sz w:val="16"/>
              </w:rPr>
              <w:t xml:space="preserve"> cm</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t>-100000</w:t>
            </w:r>
          </w:p>
        </w:tc>
        <w:tc>
          <w:tcPr>
            <w:tcW w:type="dxa" w:w="1514"/>
          </w:tcPr>
          <w:p>
            <w:pPr>
              <w:spacing w:before="20" w:after="20"/>
            </w:pPr>
            <w:r/>
            <w:r>
              <w:rPr>
                <w:rFonts w:ascii="Verdana" w:hAnsi="Verdana"/>
                <w:b w:val="0"/>
                <w:sz w:val="16"/>
              </w:rPr>
              <w:t>22</w:t>
            </w:r>
          </w:p>
        </w:tc>
        <w:tc>
          <w:tcPr>
            <w:tcW w:type="dxa" w:w="1514"/>
          </w:tcPr>
          <w:p>
            <w:pPr>
              <w:spacing w:before="20" w:after="20"/>
            </w:pPr>
            <w:r/>
            <w:r>
              <w:rPr>
                <w:rFonts w:ascii="Verdana" w:hAnsi="Verdana"/>
                <w:sz w:val="16"/>
              </w:rPr>
              <w:t>W m</w:t>
            </w:r>
            <w:r>
              <w:rPr>
                <w:rFonts w:ascii="Verdana" w:hAnsi="Verdana"/>
                <w:sz w:val="16"/>
                <w:vertAlign w:val="superscript"/>
              </w:rPr>
              <w:t>-2</w:t>
            </w:r>
            <w:r>
              <w:rPr>
                <w:rFonts w:ascii="Verdana" w:hAnsi="Verdana"/>
                <w:sz w:val="16"/>
              </w:rPr>
              <w:t xml:space="preserve"> sr</w:t>
            </w:r>
            <w:r>
              <w:rPr>
                <w:rFonts w:ascii="Verdana" w:hAnsi="Verdana"/>
                <w:sz w:val="16"/>
                <w:vertAlign w:val="superscript"/>
              </w:rPr>
              <w:t>-1</w:t>
            </w:r>
            <w:r>
              <w:rPr>
                <w:rFonts w:ascii="Verdana" w:hAnsi="Verdana"/>
                <w:sz w:val="16"/>
              </w:rPr>
              <w:t xml:space="preserve"> cm</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0 14 045</w:t>
            </w:r>
          </w:p>
        </w:tc>
        <w:tc>
          <w:tcPr>
            <w:tcW w:type="dxa" w:w="1514"/>
          </w:tcPr>
          <w:p>
            <w:pPr>
              <w:spacing w:before="20" w:after="20"/>
            </w:pPr>
            <w:r/>
            <w:r>
              <w:rPr>
                <w:rFonts w:ascii="Verdana" w:hAnsi="Verdana"/>
                <w:b w:val="0"/>
                <w:sz w:val="16"/>
              </w:rPr>
              <w:t>Channel radiance</w:t>
            </w:r>
          </w:p>
        </w:tc>
        <w:tc>
          <w:tcPr>
            <w:tcW w:type="dxa" w:w="1514"/>
          </w:tcPr>
          <w:p>
            <w:pPr>
              <w:spacing w:before="20" w:after="20"/>
            </w:pPr>
            <w:r/>
            <w:r>
              <w:rPr>
                <w:rFonts w:ascii="Verdana" w:hAnsi="Verdana"/>
                <w:sz w:val="16"/>
              </w:rPr>
              <w:t>W m</w:t>
            </w:r>
            <w:r>
              <w:rPr>
                <w:rFonts w:ascii="Verdana" w:hAnsi="Verdana"/>
                <w:sz w:val="16"/>
                <w:vertAlign w:val="superscript"/>
              </w:rPr>
              <w:t>-2</w:t>
            </w:r>
            <w:r>
              <w:rPr>
                <w:rFonts w:ascii="Verdana" w:hAnsi="Verdana"/>
                <w:sz w:val="16"/>
              </w:rPr>
              <w:t xml:space="preserve"> sr</w:t>
            </w:r>
            <w:r>
              <w:rPr>
                <w:rFonts w:ascii="Verdana" w:hAnsi="Verdana"/>
                <w:sz w:val="16"/>
                <w:vertAlign w:val="superscript"/>
              </w:rPr>
              <w:t>-1</w:t>
            </w:r>
            <w:r>
              <w:rPr>
                <w:rFonts w:ascii="Verdana" w:hAnsi="Verdana"/>
                <w:sz w:val="16"/>
              </w:rPr>
              <w:t xml:space="preserve"> cm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W m</w:t>
            </w:r>
            <w:r>
              <w:rPr>
                <w:rFonts w:ascii="Verdana" w:hAnsi="Verdana"/>
                <w:sz w:val="16"/>
                <w:vertAlign w:val="superscript"/>
              </w:rPr>
              <w:t>-2</w:t>
            </w:r>
            <w:r>
              <w:rPr>
                <w:rFonts w:ascii="Verdana" w:hAnsi="Verdana"/>
                <w:sz w:val="16"/>
              </w:rPr>
              <w:t xml:space="preserve"> sr</w:t>
            </w:r>
            <w:r>
              <w:rPr>
                <w:rFonts w:ascii="Verdana" w:hAnsi="Verdana"/>
                <w:sz w:val="16"/>
                <w:vertAlign w:val="superscript"/>
              </w:rPr>
              <w:t>-1</w:t>
            </w:r>
            <w:r>
              <w:rPr>
                <w:rFonts w:ascii="Verdana" w:hAnsi="Verdana"/>
                <w:sz w:val="16"/>
              </w:rPr>
              <w:t xml:space="preserve"> cm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B36: Channel radiance (0 14 045) uses cm to represent the wave number.</w:t>
            </w:r>
          </w:p>
        </w:tc>
      </w:tr>
      <w:tr>
        <w:trPr>
          <w:cantSplit/>
        </w:trPr>
        <w:tc>
          <w:tcPr>
            <w:tcW w:type="dxa" w:w="1514"/>
          </w:tcPr>
          <w:p>
            <w:pPr>
              <w:spacing w:before="20" w:after="20"/>
            </w:pPr>
            <w:r/>
            <w:r>
              <w:rPr>
                <w:rFonts w:ascii="Verdana" w:hAnsi="Verdana"/>
                <w:b w:val="0"/>
                <w:sz w:val="16"/>
              </w:rPr>
              <w:t>0 14 046</w:t>
            </w:r>
          </w:p>
        </w:tc>
        <w:tc>
          <w:tcPr>
            <w:tcW w:type="dxa" w:w="1514"/>
          </w:tcPr>
          <w:p>
            <w:pPr>
              <w:spacing w:before="20" w:after="20"/>
            </w:pPr>
            <w:r/>
            <w:r>
              <w:rPr>
                <w:rFonts w:ascii="Verdana" w:hAnsi="Verdana"/>
                <w:b w:val="0"/>
                <w:sz w:val="16"/>
              </w:rPr>
              <w:t>Scaled radiance</w:t>
            </w:r>
          </w:p>
        </w:tc>
        <w:tc>
          <w:tcPr>
            <w:tcW w:type="dxa" w:w="1514"/>
          </w:tcPr>
          <w:p>
            <w:pPr>
              <w:spacing w:before="20" w:after="20"/>
            </w:pPr>
            <w:r/>
            <w:r>
              <w:rPr>
                <w:rFonts w:ascii="Verdana" w:hAnsi="Verdana"/>
                <w:sz w:val="16"/>
              </w:rPr>
              <w:t>W m</w:t>
            </w:r>
            <w:r>
              <w:rPr>
                <w:rFonts w:ascii="Verdana" w:hAnsi="Verdana"/>
                <w:sz w:val="16"/>
                <w:vertAlign w:val="superscript"/>
              </w:rPr>
              <w:t>-2</w:t>
            </w:r>
            <w:r>
              <w:rPr>
                <w:rFonts w:ascii="Verdana" w:hAnsi="Verdana"/>
                <w:sz w:val="16"/>
              </w:rPr>
              <w:t xml:space="preserve"> sr</w:t>
            </w:r>
            <w:r>
              <w:rPr>
                <w:rFonts w:ascii="Verdana" w:hAnsi="Verdana"/>
                <w:sz w:val="16"/>
                <w:vertAlign w:val="superscript"/>
              </w:rPr>
              <w:t>-1</w:t>
            </w:r>
            <w:r>
              <w:rPr>
                <w:rFonts w:ascii="Verdana" w:hAnsi="Verdana"/>
                <w:sz w:val="16"/>
              </w:rPr>
              <w:t xml:space="preserve"> 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-5000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W m</w:t>
            </w:r>
            <w:r>
              <w:rPr>
                <w:rFonts w:ascii="Verdana" w:hAnsi="Verdana"/>
                <w:sz w:val="16"/>
                <w:vertAlign w:val="superscript"/>
              </w:rPr>
              <w:t>-2</w:t>
            </w:r>
            <w:r>
              <w:rPr>
                <w:rFonts w:ascii="Verdana" w:hAnsi="Verdana"/>
                <w:sz w:val="16"/>
              </w:rPr>
              <w:t xml:space="preserve"> sr</w:t>
            </w:r>
            <w:r>
              <w:rPr>
                <w:rFonts w:ascii="Verdana" w:hAnsi="Verdana"/>
                <w:sz w:val="16"/>
                <w:vertAlign w:val="superscript"/>
              </w:rPr>
              <w:t>-1</w:t>
            </w:r>
            <w:r>
              <w:rPr>
                <w:rFonts w:ascii="Verdana" w:hAnsi="Verdana"/>
                <w:sz w:val="16"/>
              </w:rPr>
              <w:t xml:space="preserve"> 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B29: An offset has been introduced for the scaled radiances (0 14 046). This is to accommodate the negative radiances which can be measured at some wave numbers,either due to effects of noise or remaining after apodization. The offset is an order of magnitude larger than the expected maximum negative excursion based on instrument noise, and so would leave sufficient margin. At the same time the dynamic range is not significantly degraded.</w:t>
            </w:r>
          </w:p>
        </w:tc>
      </w:tr>
      <w:tr>
        <w:trPr>
          <w:cantSplit/>
        </w:trPr>
        <w:tc>
          <w:tcPr>
            <w:tcW w:type="dxa" w:w="1514"/>
          </w:tcPr>
          <w:p>
            <w:pPr>
              <w:spacing w:before="20" w:after="20"/>
            </w:pPr>
            <w:r/>
            <w:r>
              <w:rPr>
                <w:rFonts w:ascii="Verdana" w:hAnsi="Verdana"/>
                <w:b w:val="0"/>
                <w:sz w:val="16"/>
              </w:rPr>
              <w:t>0 14 047</w:t>
            </w:r>
          </w:p>
        </w:tc>
        <w:tc>
          <w:tcPr>
            <w:tcW w:type="dxa" w:w="1514"/>
          </w:tcPr>
          <w:p>
            <w:pPr>
              <w:spacing w:before="20" w:after="20"/>
            </w:pPr>
            <w:r/>
            <w:r>
              <w:rPr>
                <w:rFonts w:ascii="Verdana" w:hAnsi="Verdana"/>
                <w:b w:val="0"/>
                <w:sz w:val="16"/>
              </w:rPr>
              <w:t>Scaled mean AVHRR radiance</w:t>
            </w:r>
          </w:p>
        </w:tc>
        <w:tc>
          <w:tcPr>
            <w:tcW w:type="dxa" w:w="1514"/>
          </w:tcPr>
          <w:p>
            <w:pPr>
              <w:spacing w:before="20" w:after="20"/>
            </w:pPr>
            <w:r/>
            <w:r>
              <w:rPr>
                <w:rFonts w:ascii="Verdana" w:hAnsi="Verdana"/>
                <w:sz w:val="16"/>
              </w:rPr>
              <w:t>W m</w:t>
            </w:r>
            <w:r>
              <w:rPr>
                <w:rFonts w:ascii="Verdana" w:hAnsi="Verdana"/>
                <w:sz w:val="16"/>
                <w:vertAlign w:val="superscript"/>
              </w:rPr>
              <w:t>-2</w:t>
            </w:r>
            <w:r>
              <w:rPr>
                <w:rFonts w:ascii="Verdana" w:hAnsi="Verdana"/>
                <w:sz w:val="16"/>
              </w:rPr>
              <w:t xml:space="preserve"> sr</w:t>
            </w:r>
            <w:r>
              <w:rPr>
                <w:rFonts w:ascii="Verdana" w:hAnsi="Verdana"/>
                <w:sz w:val="16"/>
                <w:vertAlign w:val="superscript"/>
              </w:rPr>
              <w:t>-1</w:t>
            </w:r>
            <w:r>
              <w:rPr>
                <w:rFonts w:ascii="Verdana" w:hAnsi="Verdana"/>
                <w:sz w:val="16"/>
              </w:rPr>
              <w:t xml:space="preserve"> 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W m</w:t>
            </w:r>
            <w:r>
              <w:rPr>
                <w:rFonts w:ascii="Verdana" w:hAnsi="Verdana"/>
                <w:sz w:val="16"/>
                <w:vertAlign w:val="superscript"/>
              </w:rPr>
              <w:t>-2</w:t>
            </w:r>
            <w:r>
              <w:rPr>
                <w:rFonts w:ascii="Verdana" w:hAnsi="Verdana"/>
                <w:sz w:val="16"/>
              </w:rPr>
              <w:t xml:space="preserve"> sr</w:t>
            </w:r>
            <w:r>
              <w:rPr>
                <w:rFonts w:ascii="Verdana" w:hAnsi="Verdana"/>
                <w:sz w:val="16"/>
                <w:vertAlign w:val="superscript"/>
              </w:rPr>
              <w:t>-1</w:t>
            </w:r>
            <w:r>
              <w:rPr>
                <w:rFonts w:ascii="Verdana" w:hAnsi="Verdana"/>
                <w:sz w:val="16"/>
              </w:rPr>
              <w:t xml:space="preserve"> 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0 14 048</w:t>
            </w:r>
          </w:p>
        </w:tc>
        <w:tc>
          <w:tcPr>
            <w:tcW w:type="dxa" w:w="1514"/>
          </w:tcPr>
          <w:p>
            <w:pPr>
              <w:spacing w:before="20" w:after="20"/>
            </w:pPr>
            <w:r/>
            <w:r>
              <w:rPr>
                <w:rFonts w:ascii="Verdana" w:hAnsi="Verdana"/>
                <w:b w:val="0"/>
                <w:sz w:val="16"/>
              </w:rPr>
              <w:t>Scaled standard deviation AVHRR radiance</w:t>
            </w:r>
          </w:p>
        </w:tc>
        <w:tc>
          <w:tcPr>
            <w:tcW w:type="dxa" w:w="1514"/>
          </w:tcPr>
          <w:p>
            <w:pPr>
              <w:spacing w:before="20" w:after="20"/>
            </w:pPr>
            <w:r/>
            <w:r>
              <w:rPr>
                <w:rFonts w:ascii="Verdana" w:hAnsi="Verdana"/>
                <w:sz w:val="16"/>
              </w:rPr>
              <w:t>W m</w:t>
            </w:r>
            <w:r>
              <w:rPr>
                <w:rFonts w:ascii="Verdana" w:hAnsi="Verdana"/>
                <w:sz w:val="16"/>
                <w:vertAlign w:val="superscript"/>
              </w:rPr>
              <w:t>-2</w:t>
            </w:r>
            <w:r>
              <w:rPr>
                <w:rFonts w:ascii="Verdana" w:hAnsi="Verdana"/>
                <w:sz w:val="16"/>
              </w:rPr>
              <w:t xml:space="preserve"> sr</w:t>
            </w:r>
            <w:r>
              <w:rPr>
                <w:rFonts w:ascii="Verdana" w:hAnsi="Verdana"/>
                <w:sz w:val="16"/>
                <w:vertAlign w:val="superscript"/>
              </w:rPr>
              <w:t>-1</w:t>
            </w:r>
            <w:r>
              <w:rPr>
                <w:rFonts w:ascii="Verdana" w:hAnsi="Verdana"/>
                <w:sz w:val="16"/>
              </w:rPr>
              <w:t xml:space="preserve"> 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W m</w:t>
            </w:r>
            <w:r>
              <w:rPr>
                <w:rFonts w:ascii="Verdana" w:hAnsi="Verdana"/>
                <w:sz w:val="16"/>
                <w:vertAlign w:val="superscript"/>
              </w:rPr>
              <w:t>-2</w:t>
            </w:r>
            <w:r>
              <w:rPr>
                <w:rFonts w:ascii="Verdana" w:hAnsi="Verdana"/>
                <w:sz w:val="16"/>
              </w:rPr>
              <w:t xml:space="preserve"> sr</w:t>
            </w:r>
            <w:r>
              <w:rPr>
                <w:rFonts w:ascii="Verdana" w:hAnsi="Verdana"/>
                <w:sz w:val="16"/>
                <w:vertAlign w:val="superscript"/>
              </w:rPr>
              <w:t>-1</w:t>
            </w:r>
            <w:r>
              <w:rPr>
                <w:rFonts w:ascii="Verdana" w:hAnsi="Verdana"/>
                <w:sz w:val="16"/>
              </w:rPr>
              <w:t xml:space="preserve"> 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0 14 049</w:t>
            </w:r>
          </w:p>
        </w:tc>
        <w:tc>
          <w:tcPr>
            <w:tcW w:type="dxa" w:w="1514"/>
          </w:tcPr>
          <w:p>
            <w:pPr>
              <w:spacing w:before="20" w:after="20"/>
            </w:pPr>
            <w:r/>
            <w:r>
              <w:rPr>
                <w:rFonts w:ascii="Verdana" w:hAnsi="Verdana"/>
                <w:b w:val="0"/>
                <w:sz w:val="16"/>
              </w:rPr>
              <w:t>Noise equivalent delta radiance</w:t>
            </w:r>
          </w:p>
        </w:tc>
        <w:tc>
          <w:tcPr>
            <w:tcW w:type="dxa" w:w="1514"/>
          </w:tcPr>
          <w:p>
            <w:pPr>
              <w:spacing w:before="20" w:after="20"/>
            </w:pPr>
            <w:r/>
            <w:r>
              <w:rPr>
                <w:rFonts w:ascii="Verdana" w:hAnsi="Verdana"/>
                <w:sz w:val="16"/>
              </w:rPr>
              <w:t>W m</w:t>
            </w:r>
            <w:r>
              <w:rPr>
                <w:rFonts w:ascii="Verdana" w:hAnsi="Verdana"/>
                <w:sz w:val="16"/>
                <w:vertAlign w:val="superscript"/>
              </w:rPr>
              <w:t>-2</w:t>
            </w:r>
            <w:r>
              <w:rPr>
                <w:rFonts w:ascii="Verdana" w:hAnsi="Verdana"/>
                <w:sz w:val="16"/>
              </w:rPr>
              <w:t xml:space="preserve"> sr</w:t>
            </w:r>
            <w:r>
              <w:rPr>
                <w:rFonts w:ascii="Verdana" w:hAnsi="Verdana"/>
                <w:sz w:val="16"/>
                <w:vertAlign w:val="superscript"/>
              </w:rPr>
              <w:t>-1</w:t>
            </w:r>
            <w:r>
              <w:rPr>
                <w:rFonts w:ascii="Verdana" w:hAnsi="Verdana"/>
                <w:sz w:val="16"/>
              </w:rPr>
              <w:t xml:space="preserve"> cm</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22</w:t>
            </w:r>
          </w:p>
        </w:tc>
        <w:tc>
          <w:tcPr>
            <w:tcW w:type="dxa" w:w="1514"/>
          </w:tcPr>
          <w:p>
            <w:pPr>
              <w:spacing w:before="20" w:after="20"/>
            </w:pPr>
            <w:r/>
            <w:r>
              <w:rPr>
                <w:rFonts w:ascii="Verdana" w:hAnsi="Verdana"/>
                <w:sz w:val="16"/>
              </w:rPr>
              <w:t>W m</w:t>
            </w:r>
            <w:r>
              <w:rPr>
                <w:rFonts w:ascii="Verdana" w:hAnsi="Verdana"/>
                <w:sz w:val="16"/>
                <w:vertAlign w:val="superscript"/>
              </w:rPr>
              <w:t>-2</w:t>
            </w:r>
            <w:r>
              <w:rPr>
                <w:rFonts w:ascii="Verdana" w:hAnsi="Verdana"/>
                <w:sz w:val="16"/>
              </w:rPr>
              <w:t xml:space="preserve"> sr</w:t>
            </w:r>
            <w:r>
              <w:rPr>
                <w:rFonts w:ascii="Verdana" w:hAnsi="Verdana"/>
                <w:sz w:val="16"/>
                <w:vertAlign w:val="superscript"/>
              </w:rPr>
              <w:t>-1</w:t>
            </w:r>
            <w:r>
              <w:rPr>
                <w:rFonts w:ascii="Verdana" w:hAnsi="Verdana"/>
                <w:sz w:val="16"/>
              </w:rPr>
              <w:t xml:space="preserve"> cm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0 14 050</w:t>
            </w:r>
          </w:p>
        </w:tc>
        <w:tc>
          <w:tcPr>
            <w:tcW w:type="dxa" w:w="1514"/>
          </w:tcPr>
          <w:p>
            <w:pPr>
              <w:spacing w:before="20" w:after="20"/>
            </w:pPr>
            <w:r/>
            <w:r>
              <w:rPr>
                <w:rFonts w:ascii="Verdana" w:hAnsi="Verdana"/>
                <w:b w:val="0"/>
                <w:sz w:val="16"/>
              </w:rPr>
              <w:t>Emissivity</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B69: Emissivity is the ratio of the amount of energy emitted from a particular object compared to the amount that would be emitted by a blackbody at the same temperature(i.e. the Planck function). Multiplying by 100 gives a percent (and provides 2 digits of precision at the same time).</w:t>
            </w:r>
          </w:p>
        </w:tc>
      </w:tr>
      <w:tr>
        <w:trPr>
          <w:cantSplit/>
        </w:trPr>
        <w:tc>
          <w:tcPr>
            <w:tcW w:type="dxa" w:w="1514"/>
          </w:tcPr>
          <w:p>
            <w:pPr>
              <w:spacing w:before="20" w:after="20"/>
            </w:pPr>
            <w:r/>
            <w:r>
              <w:rPr>
                <w:rFonts w:ascii="Verdana" w:hAnsi="Verdana"/>
                <w:b w:val="0"/>
                <w:sz w:val="16"/>
              </w:rPr>
              <w:t>0 14 051</w:t>
            </w:r>
          </w:p>
        </w:tc>
        <w:tc>
          <w:tcPr>
            <w:tcW w:type="dxa" w:w="1514"/>
          </w:tcPr>
          <w:p>
            <w:pPr>
              <w:spacing w:before="20" w:after="20"/>
            </w:pPr>
            <w:r/>
            <w:r>
              <w:rPr>
                <w:rFonts w:ascii="Verdana" w:hAnsi="Verdana"/>
                <w:b w:val="0"/>
                <w:sz w:val="16"/>
              </w:rPr>
              <w:t>Direct solar radiation integrated over last hour</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0 14 052</w:t>
            </w:r>
          </w:p>
        </w:tc>
        <w:tc>
          <w:tcPr>
            <w:tcW w:type="dxa" w:w="1514"/>
          </w:tcPr>
          <w:p>
            <w:pPr>
              <w:spacing w:before="20" w:after="20"/>
            </w:pPr>
            <w:r/>
            <w:r>
              <w:rPr>
                <w:rFonts w:ascii="Verdana" w:hAnsi="Verdana"/>
                <w:b w:val="0"/>
                <w:sz w:val="16"/>
              </w:rPr>
              <w:t>Global upward solar radiation, integrated over period specified</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-1048574</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0 14 053</w:t>
            </w:r>
          </w:p>
        </w:tc>
        <w:tc>
          <w:tcPr>
            <w:tcW w:type="dxa" w:w="1514"/>
          </w:tcPr>
          <w:p>
            <w:pPr>
              <w:spacing w:before="20" w:after="20"/>
            </w:pPr>
            <w:r/>
            <w:r>
              <w:rPr>
                <w:rFonts w:ascii="Verdana" w:hAnsi="Verdana"/>
                <w:b w:val="0"/>
                <w:sz w:val="16"/>
              </w:rPr>
              <w:t>Net radiation (high accuracy), integrated over period specified</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-1048574</w:t>
            </w:r>
          </w:p>
        </w:tc>
        <w:tc>
          <w:tcPr>
            <w:tcW w:type="dxa" w:w="1514"/>
          </w:tcPr>
          <w:p>
            <w:pPr>
              <w:spacing w:before="20" w:after="20"/>
            </w:pPr>
            <w:r/>
            <w:r>
              <w:rPr>
                <w:rFonts w:ascii="Verdana" w:hAnsi="Verdana"/>
                <w:b w:val="0"/>
                <w:sz w:val="16"/>
              </w:rPr>
              <w:t>21</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0 14 054</w:t>
            </w:r>
          </w:p>
        </w:tc>
        <w:tc>
          <w:tcPr>
            <w:tcW w:type="dxa" w:w="1514"/>
          </w:tcPr>
          <w:p>
            <w:pPr>
              <w:spacing w:before="20" w:after="20"/>
            </w:pPr>
            <w:r/>
            <w:r>
              <w:rPr>
                <w:rFonts w:ascii="Verdana" w:hAnsi="Verdana"/>
                <w:b w:val="0"/>
                <w:sz w:val="16"/>
              </w:rPr>
              <w:t>Photosynthetically active radiation, integrated over period specified</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0 14 055</w:t>
            </w:r>
          </w:p>
        </w:tc>
        <w:tc>
          <w:tcPr>
            <w:tcW w:type="dxa" w:w="1514"/>
          </w:tcPr>
          <w:p>
            <w:pPr>
              <w:spacing w:before="20" w:after="20"/>
            </w:pPr>
            <w:r/>
            <w:r>
              <w:rPr>
                <w:rFonts w:ascii="Verdana" w:hAnsi="Verdana"/>
                <w:b w:val="0"/>
                <w:sz w:val="16"/>
              </w:rPr>
              <w:t>Solar activity index</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0 14 056</w:t>
            </w:r>
          </w:p>
        </w:tc>
        <w:tc>
          <w:tcPr>
            <w:tcW w:type="dxa" w:w="1514"/>
          </w:tcPr>
          <w:p>
            <w:pPr>
              <w:spacing w:before="20" w:after="20"/>
            </w:pPr>
            <w:r/>
            <w:r>
              <w:rPr>
                <w:rFonts w:ascii="Verdana" w:hAnsi="Verdana"/>
                <w:b w:val="0"/>
                <w:sz w:val="16"/>
              </w:rPr>
              <w:t>Background luminance</w:t>
            </w:r>
          </w:p>
        </w:tc>
        <w:tc>
          <w:tcPr>
            <w:tcW w:type="dxa" w:w="1514"/>
          </w:tcPr>
          <w:p>
            <w:pPr>
              <w:spacing w:before="20" w:after="20"/>
            </w:pPr>
            <w:r/>
            <w:r>
              <w:rPr>
                <w:rFonts w:ascii="Verdana" w:hAnsi="Verdana"/>
                <w:sz w:val="16"/>
              </w:rPr>
              <w:t>Cd 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18</w:t>
            </w:r>
          </w:p>
        </w:tc>
        <w:tc>
          <w:tcPr>
            <w:tcW w:type="dxa" w:w="1514"/>
          </w:tcPr>
          <w:p>
            <w:pPr>
              <w:spacing w:before="20" w:after="20"/>
            </w:pPr>
            <w:r/>
            <w:r>
              <w:rPr>
                <w:rFonts w:ascii="Verdana" w:hAnsi="Verdana"/>
                <w:sz w:val="16"/>
              </w:rPr>
              <w:t>Cd 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0 14 057</w:t>
            </w:r>
          </w:p>
        </w:tc>
        <w:tc>
          <w:tcPr>
            <w:tcW w:type="dxa" w:w="1514"/>
          </w:tcPr>
          <w:p>
            <w:pPr>
              <w:spacing w:before="20" w:after="20"/>
            </w:pPr>
            <w:r/>
            <w:r>
              <w:rPr>
                <w:rFonts w:ascii="Verdana" w:hAnsi="Verdana"/>
                <w:b w:val="0"/>
                <w:sz w:val="16"/>
              </w:rPr>
              <w:t>Soil heat flux</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-1048574</w:t>
            </w:r>
          </w:p>
        </w:tc>
        <w:tc>
          <w:tcPr>
            <w:tcW w:type="dxa" w:w="1514"/>
          </w:tcPr>
          <w:p>
            <w:pPr>
              <w:spacing w:before="20" w:after="20"/>
            </w:pPr>
            <w:r/>
            <w:r>
              <w:rPr>
                <w:rFonts w:ascii="Verdana" w:hAnsi="Verdana"/>
                <w:b w:val="0"/>
                <w:sz w:val="16"/>
              </w:rPr>
              <w:t>21</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0 14 058</w:t>
            </w:r>
          </w:p>
        </w:tc>
        <w:tc>
          <w:tcPr>
            <w:tcW w:type="dxa" w:w="1514"/>
          </w:tcPr>
          <w:p>
            <w:pPr>
              <w:spacing w:before="20" w:after="20"/>
            </w:pPr>
            <w:r/>
            <w:r>
              <w:rPr>
                <w:rFonts w:ascii="Verdana" w:hAnsi="Verdana"/>
                <w:b w:val="0"/>
                <w:sz w:val="16"/>
              </w:rPr>
              <w:t>Corrected cross-pole backscatter</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-5000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0 14 072</w:t>
            </w:r>
          </w:p>
        </w:tc>
        <w:tc>
          <w:tcPr>
            <w:tcW w:type="dxa" w:w="1514"/>
          </w:tcPr>
          <w:p>
            <w:pPr>
              <w:spacing w:before="20" w:after="20"/>
            </w:pPr>
            <w:r/>
            <w:r>
              <w:rPr>
                <w:rFonts w:ascii="Verdana" w:hAnsi="Verdana"/>
                <w:b w:val="0"/>
                <w:sz w:val="16"/>
              </w:rPr>
              <w:t>Global UV irradiation</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-4000000</w:t>
            </w:r>
          </w:p>
        </w:tc>
        <w:tc>
          <w:tcPr>
            <w:tcW w:type="dxa" w:w="1514"/>
          </w:tcPr>
          <w:p>
            <w:pPr>
              <w:spacing w:before="20" w:after="20"/>
            </w:pPr>
            <w:r/>
            <w:r>
              <w:rPr>
                <w:rFonts w:ascii="Verdana" w:hAnsi="Verdana"/>
                <w:b w:val="0"/>
                <w:sz w:val="16"/>
              </w:rPr>
              <w:t>23</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t>Note B83: Global UV irradiation (0 14 072) is UV energy integrated over period specified for spectral band specified. 0 14 072 shall be preceded by a time period descriptor and by Spectrographic wavelength (0 02 071) and Spectrographic width (0 02 072). For example, if 0 14 072 is used for global UV-B irradiation, 0 02 071 and 0 02 072shall specify spectral band 280 to 315 nm.</w:t>
            </w:r>
          </w:p>
        </w:tc>
      </w:tr>
    </w:tbl>
    <w:p/>
    <w:p>
      <w:r>
        <w:rPr>
          <w:rFonts w:ascii="Verdana" w:hAnsi="Verdana"/>
          <w:i/>
          <w:sz w:val="14"/>
        </w:rPr>
        <w:t>Note B63: Downward radiation shall be assigned positive values.</w:t>
      </w:r>
    </w:p>
    <w:p>
      <w:r>
        <w:rPr>
          <w:rFonts w:ascii="Verdana" w:hAnsi="Verdana"/>
          <w:i/>
          <w:sz w:val="14"/>
        </w:rPr>
        <w:t>Note B160: Upward radiation shall be assigned negative values.</w:t>
      </w:r>
    </w:p>
    <w:p>
      <w:r>
        <w:rPr>
          <w:rFonts w:ascii="Verdana" w:hAnsi="Verdana"/>
          <w:i/>
          <w:sz w:val="14"/>
        </w:rPr>
        <w:t>Note B178: Where the expression "period specified" is entered under element name, an appropriate period shall be specified using descriptors from Class 04.</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