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Category 00: BUFR table entries sequences</w:t>
      </w:r>
    </w:p>
    <w:p>
      <w:r>
        <w:rPr>
          <w:rFonts w:ascii="Verdana" w:hAnsi="Verdana"/>
          <w:b/>
          <w:sz w:val="18"/>
        </w:rPr>
        <w:t>3 00 002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A: data category description, line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A: data category description, line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00 003 (F, X, Y of descriptor to be added or defined)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 descriptor to be added or defined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X descriptor to be added or defined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 descriptor to be added or defined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3 00 004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F, X, Y of descriptor to be added or defined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name, line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name, line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Units name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Units scale sign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Units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Units reference sign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Units reference value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3 00 010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F, X, Y of descriptor to be added or defined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Descriptor defining sequence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00 015 (Code table definition)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Descriptor defining sequence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2 descriptors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Extended 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 meaning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00 016 (Flag table definition)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Descriptor defining sequence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2 descriptors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 number meaning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/>
    <w:p>
      <w:r>
        <w:rPr>
          <w:rFonts w:ascii="Verdana" w:hAnsi="Verdana"/>
          <w:i/>
          <w:sz w:val="14"/>
        </w:rPr>
        <w:t>Note D32: It could be argued that, as only additions are possible, only complete lines should be allowed; but it is conceivable that local areas will require changes as well as additions, so it is better and in any case clearer to provide descriptions for all the fields.</w:t>
      </w:r>
    </w:p>
    <w:p>
      <w:r>
        <w:rPr>
          <w:rFonts w:ascii="Verdana" w:hAnsi="Verdana"/>
          <w:i/>
          <w:sz w:val="14"/>
        </w:rPr>
        <w:t>Note D33: It is better to use different Class 00 descriptors for the defining and defined elements, in the same way as different descriptors correspond to pressure considered as a coordinate and pressure measured at a given point; otherwise special rules would be needed to interpret such message. Entries 0 00 010 to 0 00 012 define F, X and Y for Tables B and D; entry 0 00 030 is a descriptor used as data and provides the F, X and Y values defining a sequence for Table D entries.</w:t>
      </w:r>
    </w:p>
    <w:p>
      <w:r>
        <w:rPr>
          <w:rFonts w:ascii="Verdana" w:hAnsi="Verdana"/>
          <w:i/>
          <w:sz w:val="14"/>
        </w:rPr>
        <w:t>Note D63: These entries include the facility to update the Table A code figure and data description.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