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04</w:t>
      </w:r>
    </w:p>
    <w:p>
      <w:r>
        <w:rPr>
          <w:rFonts w:ascii="Verdana" w:hAnsi="Verdana"/>
          <w:b/>
          <w:sz w:val="18"/>
        </w:rPr>
        <w:t>0 04 059  Horas de observación utilizadas para calcular los valores medios notificados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Otras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04 080  Período de premediación para el valor siguiente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inmediatos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Menos de 15 min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15 a 45 min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Más de 45 min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no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