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42</w:t>
      </w:r>
    </w:p>
    <w:p>
      <w:r>
        <w:rPr>
          <w:rFonts w:ascii="Verdana" w:hAnsi="Verdana"/>
          <w:b/>
          <w:sz w:val="18"/>
        </w:rPr>
        <w:t>0 42 004  Fiabilidad de la inversión para cada partición del espectro de olas de mar de fondo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ola resuelta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Ambigüedad de 180 grados no resuelta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