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06: Ubicación (horizontal –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longitud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longitud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columna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Compensación en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B183: La compensación en X es la distancia entre el origen de proyección y la esquina superior izquierda del píxel superior izquierdo en un mapa, como se muestra en el diagrama siguiente: f.'arope-t15il u _.-t Pl-.é! nl¡i&lt;.&gt;CÍll i h.uu1w Jv I.2 – BUFR/CREX Tabla B/06 – 2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los píxeles en la horizontal –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máximo de la dimensión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B66: Se asignarán valores negativos a los incrementos este-oeste.</w:t>
      </w:r>
    </w:p>
    <w:p>
      <w:r>
        <w:rPr>
          <w:rFonts w:ascii="Verdana" w:hAnsi="Verdana"/>
          <w:i/>
          <w:sz w:val="14"/>
        </w:rPr>
        <w:t>Note B141: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B164: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B166: Se asignarán valores negativos a la longitud oeste.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