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19: Características sinópticas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NOMBRE DEL ELEMENTO</w:t>
            </w:r>
          </w:p>
        </w:tc>
        <w:tc>
          <w:tcPr>
            <w:tcW w:type="dxa" w:w="1514"/>
            <w:shd w:val="clear" w:color="auto" w:fill="D9D9D9"/>
          </w:tcPr>
          <w:p>
            <w:pPr>
              <w:spacing w:before="20" w:after="20"/>
            </w:pPr>
            <w:r/>
            <w:r>
              <w:rPr>
                <w:rFonts w:ascii="Verdana" w:hAnsi="Verdana"/>
                <w:b w:val="0"/>
                <w:sz w:val="16"/>
              </w:rPr>
              <w:t>UNIDAD BUFR</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VAL. REF.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UNIDAD CREX</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NOTA</w:t>
            </w:r>
          </w:p>
        </w:tc>
      </w:tr>
      <w:tr>
        <w:trPr>
          <w:cantSplit/>
        </w:trPr>
        <w:tc>
          <w:tcPr>
            <w:tcW w:type="dxa" w:w="1514"/>
          </w:tcPr>
          <w:p>
            <w:pPr>
              <w:spacing w:before="20" w:after="20"/>
            </w:pPr>
            <w:r/>
            <w:r>
              <w:rPr>
                <w:rFonts w:ascii="Verdana" w:hAnsi="Verdana"/>
                <w:b w:val="0"/>
                <w:sz w:val="16"/>
              </w:rPr>
              <w:t>0 19 001</w:t>
            </w:r>
          </w:p>
        </w:tc>
        <w:tc>
          <w:tcPr>
            <w:tcW w:type="dxa" w:w="1514"/>
          </w:tcPr>
          <w:p>
            <w:pPr>
              <w:spacing w:before="20" w:after="20"/>
            </w:pPr>
            <w:r/>
            <w:r>
              <w:rPr>
                <w:rFonts w:ascii="Verdana" w:hAnsi="Verdana"/>
                <w:b w:val="0"/>
                <w:sz w:val="16"/>
              </w:rPr>
              <w:t>Tipo de característica sinóptica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0 19 002</w:t>
            </w:r>
          </w:p>
        </w:tc>
        <w:tc>
          <w:tcPr>
            <w:tcW w:type="dxa" w:w="1514"/>
          </w:tcPr>
          <w:p>
            <w:pPr>
              <w:spacing w:before="20" w:after="20"/>
            </w:pPr>
            <w:r/>
            <w:r>
              <w:rPr>
                <w:rFonts w:ascii="Verdana" w:hAnsi="Verdana"/>
                <w:b w:val="0"/>
                <w:sz w:val="16"/>
              </w:rPr>
              <w:t>Radio efectivo de la característica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B138: El radio real de la característica se definirá en función del radio de la isobara de 1000 hPa al nivel medio del mar.</w:t>
            </w:r>
          </w:p>
        </w:tc>
      </w:tr>
      <w:tr>
        <w:trPr>
          <w:cantSplit/>
        </w:trPr>
        <w:tc>
          <w:tcPr>
            <w:tcW w:type="dxa" w:w="1514"/>
          </w:tcPr>
          <w:p>
            <w:pPr>
              <w:spacing w:before="20" w:after="20"/>
            </w:pPr>
            <w:r/>
            <w:r>
              <w:rPr>
                <w:rFonts w:ascii="Verdana" w:hAnsi="Verdana"/>
                <w:b w:val="0"/>
                <w:sz w:val="16"/>
              </w:rPr>
              <w:t>0 19 003</w:t>
            </w:r>
          </w:p>
        </w:tc>
        <w:tc>
          <w:tcPr>
            <w:tcW w:type="dxa" w:w="1514"/>
          </w:tcPr>
          <w:p>
            <w:pPr>
              <w:spacing w:before="20" w:after="20"/>
            </w:pPr>
            <w:r/>
            <w:r>
              <w:rPr>
                <w:rFonts w:ascii="Verdana" w:hAnsi="Verdana"/>
                <w:b w:val="0"/>
                <w:sz w:val="16"/>
              </w:rPr>
              <w:t>Umbral de la velocidad del viento</w:t>
            </w:r>
          </w:p>
        </w:tc>
        <w:tc>
          <w:tcPr>
            <w:tcW w:type="dxa" w:w="1514"/>
          </w:tcPr>
          <w:p>
            <w:pPr>
              <w:spacing w:before="20" w:after="20"/>
            </w:pPr>
            <w:r/>
            <w:r>
              <w:rPr>
                <w:rFonts w:ascii="Verdana" w:hAnsi="Verdana"/>
                <w:sz w:val="16"/>
              </w:rPr>
              <w:t>m s⁻¹</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 s⁻¹</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B99: Se indicarán el viento máximo y el radio efectivo del viento máximo mediante las referencias 0 19 003 y 0 19 004.</w:t>
            </w:r>
          </w:p>
        </w:tc>
      </w:tr>
      <w:tr>
        <w:trPr>
          <w:cantSplit/>
        </w:trPr>
        <w:tc>
          <w:tcPr>
            <w:tcW w:type="dxa" w:w="1514"/>
          </w:tcPr>
          <w:p>
            <w:pPr>
              <w:spacing w:before="20" w:after="20"/>
            </w:pPr>
            <w:r/>
            <w:r>
              <w:rPr>
                <w:rFonts w:ascii="Verdana" w:hAnsi="Verdana"/>
                <w:b w:val="0"/>
                <w:sz w:val="16"/>
              </w:rPr>
              <w:t>0 19 004</w:t>
            </w:r>
          </w:p>
        </w:tc>
        <w:tc>
          <w:tcPr>
            <w:tcW w:type="dxa" w:w="1514"/>
          </w:tcPr>
          <w:p>
            <w:pPr>
              <w:spacing w:before="20" w:after="20"/>
            </w:pPr>
            <w:r/>
            <w:r>
              <w:rPr>
                <w:rFonts w:ascii="Verdana" w:hAnsi="Verdana"/>
                <w:b w:val="0"/>
                <w:sz w:val="16"/>
              </w:rPr>
              <w:t>Radio efectivo de las velocidades del viento por encima del umbral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B99: Se indicarán el viento máximo y el radio efectivo del viento máximo mediante las referencias 0 19 003 y 0 19 004.</w:t>
            </w:r>
          </w:p>
        </w:tc>
      </w:tr>
      <w:tr>
        <w:trPr>
          <w:cantSplit/>
        </w:trPr>
        <w:tc>
          <w:tcPr>
            <w:tcW w:type="dxa" w:w="1514"/>
          </w:tcPr>
          <w:p>
            <w:pPr>
              <w:spacing w:before="20" w:after="20"/>
            </w:pPr>
            <w:r/>
            <w:r>
              <w:rPr>
                <w:rFonts w:ascii="Verdana" w:hAnsi="Verdana"/>
                <w:b w:val="0"/>
                <w:sz w:val="16"/>
              </w:rPr>
              <w:t>0 19 005</w:t>
            </w:r>
          </w:p>
        </w:tc>
        <w:tc>
          <w:tcPr>
            <w:tcW w:type="dxa" w:w="1514"/>
          </w:tcPr>
          <w:p>
            <w:pPr>
              <w:spacing w:before="20" w:after="20"/>
            </w:pPr>
            <w:r/>
            <w:r>
              <w:rPr>
                <w:rFonts w:ascii="Verdana" w:hAnsi="Verdana"/>
                <w:b w:val="0"/>
                <w:sz w:val="16"/>
              </w:rPr>
              <w:t>Dirección del desplazamiento de la característica</w:t>
            </w:r>
          </w:p>
        </w:tc>
        <w:tc>
          <w:tcPr>
            <w:tcW w:type="dxa" w:w="1514"/>
          </w:tcPr>
          <w:p>
            <w:pPr>
              <w:spacing w:before="20" w:after="20"/>
            </w:pPr>
            <w:r/>
            <w:r>
              <w:rPr>
                <w:rFonts w:ascii="Verdana" w:hAnsi="Verdana"/>
                <w:sz w:val="16"/>
              </w:rPr>
              <w:t>grado verdadero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grado verdadero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B73: Para una característica estacionaria, tanto la dirección del desplazamiento de la característica (0 19 005) como la velocidad del desplazamiento de la característica (0 19 006) se cifrarán en cero. I.2 – BUFR/CREX Tabla B/19 – 3</w:t>
            </w:r>
          </w:p>
        </w:tc>
      </w:tr>
      <w:tr>
        <w:trPr>
          <w:cantSplit/>
        </w:trPr>
        <w:tc>
          <w:tcPr>
            <w:tcW w:type="dxa" w:w="1514"/>
          </w:tcPr>
          <w:p>
            <w:pPr>
              <w:spacing w:before="20" w:after="20"/>
            </w:pPr>
            <w:r/>
            <w:r>
              <w:rPr>
                <w:rFonts w:ascii="Verdana" w:hAnsi="Verdana"/>
                <w:b w:val="0"/>
                <w:sz w:val="16"/>
              </w:rPr>
              <w:t>0 19 006</w:t>
            </w:r>
          </w:p>
        </w:tc>
        <w:tc>
          <w:tcPr>
            <w:tcW w:type="dxa" w:w="1514"/>
          </w:tcPr>
          <w:p>
            <w:pPr>
              <w:spacing w:before="20" w:after="20"/>
            </w:pPr>
            <w:r/>
            <w:r>
              <w:rPr>
                <w:rFonts w:ascii="Verdana" w:hAnsi="Verdana"/>
                <w:b w:val="0"/>
                <w:sz w:val="16"/>
              </w:rPr>
              <w:t>Velocidad del desplazamiento de la característica</w:t>
            </w:r>
          </w:p>
        </w:tc>
        <w:tc>
          <w:tcPr>
            <w:tcW w:type="dxa" w:w="1514"/>
          </w:tcPr>
          <w:p>
            <w:pPr>
              <w:spacing w:before="20" w:after="20"/>
            </w:pPr>
            <w:r/>
            <w:r>
              <w:rPr>
                <w:rFonts w:ascii="Verdana" w:hAnsi="Verdana"/>
                <w:sz w:val="16"/>
              </w:rPr>
              <w:t>m s⁻¹</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 s⁻¹</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B73: Para una característica estacionaria, tanto la dirección del desplazamiento de la característica (0 19 005) como la velocidad del desplazamiento de la característica (0 19 006) se cifrarán en cero. I.2 – BUFR/CREX Tabla B/19 – 3</w:t>
            </w:r>
          </w:p>
        </w:tc>
      </w:tr>
      <w:tr>
        <w:trPr>
          <w:cantSplit/>
        </w:trPr>
        <w:tc>
          <w:tcPr>
            <w:tcW w:type="dxa" w:w="1514"/>
          </w:tcPr>
          <w:p>
            <w:pPr>
              <w:spacing w:before="20" w:after="20"/>
            </w:pPr>
            <w:r/>
            <w:r>
              <w:rPr>
                <w:rFonts w:ascii="Verdana" w:hAnsi="Verdana"/>
                <w:b w:val="0"/>
                <w:sz w:val="16"/>
              </w:rPr>
              <w:t>0 19 007</w:t>
            </w:r>
          </w:p>
        </w:tc>
        <w:tc>
          <w:tcPr>
            <w:tcW w:type="dxa" w:w="1514"/>
          </w:tcPr>
          <w:p>
            <w:pPr>
              <w:spacing w:before="20" w:after="20"/>
            </w:pPr>
            <w:r/>
            <w:r>
              <w:rPr>
                <w:rFonts w:ascii="Verdana" w:hAnsi="Verdana"/>
                <w:b w:val="0"/>
                <w:sz w:val="16"/>
              </w:rPr>
              <w:t>Radio efectivo de la característica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0 19 008</w:t>
            </w:r>
          </w:p>
        </w:tc>
        <w:tc>
          <w:tcPr>
            <w:tcW w:type="dxa" w:w="1514"/>
          </w:tcPr>
          <w:p>
            <w:pPr>
              <w:spacing w:before="20" w:after="20"/>
            </w:pPr>
            <w:r/>
            <w:r>
              <w:rPr>
                <w:rFonts w:ascii="Verdana" w:hAnsi="Verdana"/>
                <w:b w:val="0"/>
                <w:sz w:val="16"/>
              </w:rPr>
              <w:t>Extensión vertical de la circulación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0 19 009</w:t>
            </w:r>
          </w:p>
        </w:tc>
        <w:tc>
          <w:tcPr>
            <w:tcW w:type="dxa" w:w="1514"/>
          </w:tcPr>
          <w:p>
            <w:pPr>
              <w:spacing w:before="20" w:after="20"/>
            </w:pPr>
            <w:r/>
            <w:r>
              <w:rPr>
                <w:rFonts w:ascii="Verdana" w:hAnsi="Verdana"/>
                <w:b w:val="0"/>
                <w:sz w:val="16"/>
              </w:rPr>
              <w:t>Radio efectivo con respecto a velocidad del viento por encima del umbral (tormentas importantes)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0 19 010</w:t>
            </w:r>
          </w:p>
        </w:tc>
        <w:tc>
          <w:tcPr>
            <w:tcW w:type="dxa" w:w="1514"/>
          </w:tcPr>
          <w:p>
            <w:pPr>
              <w:spacing w:before="20" w:after="20"/>
            </w:pPr>
            <w:r/>
            <w:r>
              <w:rPr>
                <w:rFonts w:ascii="Verdana" w:hAnsi="Verdana"/>
                <w:b w:val="0"/>
                <w:sz w:val="16"/>
              </w:rPr>
              <w:t>Método de seguimiento del centro de la característica sinóptica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0 19 100</w:t>
            </w:r>
          </w:p>
        </w:tc>
        <w:tc>
          <w:tcPr>
            <w:tcW w:type="dxa" w:w="1514"/>
          </w:tcPr>
          <w:p>
            <w:pPr>
              <w:spacing w:before="20" w:after="20"/>
            </w:pPr>
            <w:r/>
            <w:r>
              <w:rPr>
                <w:rFonts w:ascii="Verdana" w:hAnsi="Verdana"/>
                <w:b w:val="0"/>
                <w:sz w:val="16"/>
              </w:rPr>
              <w:t>Intervalo de tiempo para calcular el desplazamiento del ciclón tropical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0 19 101</w:t>
            </w:r>
          </w:p>
        </w:tc>
        <w:tc>
          <w:tcPr>
            <w:tcW w:type="dxa" w:w="1514"/>
          </w:tcPr>
          <w:p>
            <w:pPr>
              <w:spacing w:before="20" w:after="20"/>
            </w:pPr>
            <w:r/>
            <w:r>
              <w:rPr>
                <w:rFonts w:ascii="Verdana" w:hAnsi="Verdana"/>
                <w:b w:val="0"/>
                <w:sz w:val="16"/>
              </w:rPr>
              <w:t>Precisión de la posición del centro del ciclón tropical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0 19 102</w:t>
            </w:r>
          </w:p>
        </w:tc>
        <w:tc>
          <w:tcPr>
            <w:tcW w:type="dxa" w:w="1514"/>
          </w:tcPr>
          <w:p>
            <w:pPr>
              <w:spacing w:before="20" w:after="20"/>
            </w:pPr>
            <w:r/>
            <w:r>
              <w:rPr>
                <w:rFonts w:ascii="Verdana" w:hAnsi="Verdana"/>
                <w:b w:val="0"/>
                <w:sz w:val="16"/>
              </w:rPr>
              <w:t>Forma y definición del ojo del ciclón tropical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0 19 103</w:t>
            </w:r>
          </w:p>
        </w:tc>
        <w:tc>
          <w:tcPr>
            <w:tcW w:type="dxa" w:w="1514"/>
          </w:tcPr>
          <w:p>
            <w:pPr>
              <w:spacing w:before="20" w:after="20"/>
            </w:pPr>
            <w:r/>
            <w:r>
              <w:rPr>
                <w:rFonts w:ascii="Verdana" w:hAnsi="Verdana"/>
                <w:b w:val="0"/>
                <w:sz w:val="16"/>
              </w:rPr>
              <w:t>Diámetro del eje principal del ojo del ciclón tropical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0 19 104</w:t>
            </w:r>
          </w:p>
        </w:tc>
        <w:tc>
          <w:tcPr>
            <w:tcW w:type="dxa" w:w="1514"/>
          </w:tcPr>
          <w:p>
            <w:pPr>
              <w:spacing w:before="20" w:after="20"/>
            </w:pPr>
            <w:r/>
            <w:r>
              <w:rPr>
                <w:rFonts w:ascii="Verdana" w:hAnsi="Verdana"/>
                <w:b w:val="0"/>
                <w:sz w:val="16"/>
              </w:rPr>
              <w:t>Cambio de naturaleza del ojo durante los 30 minutos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0 19 105</w:t>
            </w:r>
          </w:p>
        </w:tc>
        <w:tc>
          <w:tcPr>
            <w:tcW w:type="dxa" w:w="1514"/>
          </w:tcPr>
          <w:p>
            <w:pPr>
              <w:spacing w:before="20" w:after="20"/>
            </w:pPr>
            <w:r/>
            <w:r>
              <w:rPr>
                <w:rFonts w:ascii="Verdana" w:hAnsi="Verdana"/>
                <w:b w:val="0"/>
                <w:sz w:val="16"/>
              </w:rPr>
              <w:t>Distancia entre el extremo de la banda en espiral y el centro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0 19 106</w:t>
            </w:r>
          </w:p>
        </w:tc>
        <w:tc>
          <w:tcPr>
            <w:tcW w:type="dxa" w:w="1514"/>
          </w:tcPr>
          <w:p>
            <w:pPr>
              <w:spacing w:before="20" w:after="20"/>
            </w:pPr>
            <w:r/>
            <w:r>
              <w:rPr>
                <w:rFonts w:ascii="Verdana" w:hAnsi="Verdana"/>
                <w:b w:val="0"/>
                <w:sz w:val="16"/>
              </w:rPr>
              <w:t>Número de identificación del ciclón tropical</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0 19 107</w:t>
            </w:r>
          </w:p>
        </w:tc>
        <w:tc>
          <w:tcPr>
            <w:tcW w:type="dxa" w:w="1514"/>
          </w:tcPr>
          <w:p>
            <w:pPr>
              <w:spacing w:before="20" w:after="20"/>
            </w:pPr>
            <w:r/>
            <w:r>
              <w:rPr>
                <w:rFonts w:ascii="Verdana" w:hAnsi="Verdana"/>
                <w:b w:val="0"/>
                <w:sz w:val="16"/>
              </w:rPr>
              <w:t>Intervalo de tiempo sobre el que se ha calculado el movimiento del ciclón tropical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0 19 108</w:t>
            </w:r>
          </w:p>
        </w:tc>
        <w:tc>
          <w:tcPr>
            <w:tcW w:type="dxa" w:w="1514"/>
          </w:tcPr>
          <w:p>
            <w:pPr>
              <w:spacing w:before="20" w:after="20"/>
            </w:pPr>
            <w:r/>
            <w:r>
              <w:rPr>
                <w:rFonts w:ascii="Verdana" w:hAnsi="Verdana"/>
                <w:b w:val="0"/>
                <w:sz w:val="16"/>
              </w:rPr>
              <w:t>Precisión de la posición geográfica del ciclón tropical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0 19 109</w:t>
            </w:r>
          </w:p>
        </w:tc>
        <w:tc>
          <w:tcPr>
            <w:tcW w:type="dxa" w:w="1514"/>
          </w:tcPr>
          <w:p>
            <w:pPr>
              <w:spacing w:before="20" w:after="20"/>
            </w:pPr>
            <w:r/>
            <w:r>
              <w:rPr>
                <w:rFonts w:ascii="Verdana" w:hAnsi="Verdana"/>
                <w:b w:val="0"/>
                <w:sz w:val="16"/>
              </w:rPr>
              <w:t>Diámetro medio de la cobertura nubosa del ciclón tropical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0 19 110</w:t>
            </w:r>
          </w:p>
        </w:tc>
        <w:tc>
          <w:tcPr>
            <w:tcW w:type="dxa" w:w="1514"/>
          </w:tcPr>
          <w:p>
            <w:pPr>
              <w:spacing w:before="20" w:after="20"/>
            </w:pPr>
            <w:r/>
            <w:r>
              <w:rPr>
                <w:rFonts w:ascii="Verdana" w:hAnsi="Verdana"/>
                <w:b w:val="0"/>
                <w:sz w:val="16"/>
              </w:rPr>
              <w:t>Cambio aparente en 24 horas de la intensidad del ciclón tropical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0 19 111</w:t>
            </w:r>
          </w:p>
        </w:tc>
        <w:tc>
          <w:tcPr>
            <w:tcW w:type="dxa" w:w="1514"/>
          </w:tcPr>
          <w:p>
            <w:pPr>
              <w:spacing w:before="20" w:after="20"/>
            </w:pPr>
            <w:r/>
            <w:r>
              <w:rPr>
                <w:rFonts w:ascii="Verdana" w:hAnsi="Verdana"/>
                <w:b w:val="0"/>
                <w:sz w:val="16"/>
              </w:rPr>
              <w:t>Número intensidad actual (CI) del ciclón tropical</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0 19 112</w:t>
            </w:r>
          </w:p>
        </w:tc>
        <w:tc>
          <w:tcPr>
            <w:tcW w:type="dxa" w:w="1514"/>
          </w:tcPr>
          <w:p>
            <w:pPr>
              <w:spacing w:before="20" w:after="20"/>
            </w:pPr>
            <w:r/>
            <w:r>
              <w:rPr>
                <w:rFonts w:ascii="Verdana" w:hAnsi="Verdana"/>
                <w:b w:val="0"/>
                <w:sz w:val="16"/>
              </w:rPr>
              <w:t>Número "tropical-datos" (DT) del ciclón tropical</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0 19 113</w:t>
            </w:r>
          </w:p>
        </w:tc>
        <w:tc>
          <w:tcPr>
            <w:tcW w:type="dxa" w:w="1514"/>
          </w:tcPr>
          <w:p>
            <w:pPr>
              <w:spacing w:before="20" w:after="20"/>
            </w:pPr>
            <w:r/>
            <w:r>
              <w:rPr>
                <w:rFonts w:ascii="Verdana" w:hAnsi="Verdana"/>
                <w:b w:val="0"/>
                <w:sz w:val="16"/>
              </w:rPr>
              <w:t>Tipo de configuración nubosa del número de DT</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0 19 114</w:t>
            </w:r>
          </w:p>
        </w:tc>
        <w:tc>
          <w:tcPr>
            <w:tcW w:type="dxa" w:w="1514"/>
          </w:tcPr>
          <w:p>
            <w:pPr>
              <w:spacing w:before="20" w:after="20"/>
            </w:pPr>
            <w:r/>
            <w:r>
              <w:rPr>
                <w:rFonts w:ascii="Verdana" w:hAnsi="Verdana"/>
                <w:b w:val="0"/>
                <w:sz w:val="16"/>
              </w:rPr>
              <w:t>Número "tropical-predicción de modelo" (MET) del ciclón tropical</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0 19 115</w:t>
            </w:r>
          </w:p>
        </w:tc>
        <w:tc>
          <w:tcPr>
            <w:tcW w:type="dxa" w:w="1514"/>
          </w:tcPr>
          <w:p>
            <w:pPr>
              <w:spacing w:before="20" w:after="20"/>
            </w:pPr>
            <w:r/>
            <w:r>
              <w:rPr>
                <w:rFonts w:ascii="Verdana" w:hAnsi="Verdana"/>
                <w:b w:val="0"/>
                <w:sz w:val="16"/>
              </w:rPr>
              <w:t>Cambio de tendencia en las 24 horas anteriores (+: Desarrollado,-: Debilitado)</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0 19 116</w:t>
            </w:r>
          </w:p>
        </w:tc>
        <w:tc>
          <w:tcPr>
            <w:tcW w:type="dxa" w:w="1514"/>
          </w:tcPr>
          <w:p>
            <w:pPr>
              <w:spacing w:before="20" w:after="20"/>
            </w:pPr>
            <w:r/>
            <w:r>
              <w:rPr>
                <w:rFonts w:ascii="Verdana" w:hAnsi="Verdana"/>
                <w:b w:val="0"/>
                <w:sz w:val="16"/>
              </w:rPr>
              <w:t>Número "tropical-patrón" (PT) del ciclón tropical</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0 19 117</w:t>
            </w:r>
          </w:p>
        </w:tc>
        <w:tc>
          <w:tcPr>
            <w:tcW w:type="dxa" w:w="1514"/>
          </w:tcPr>
          <w:p>
            <w:pPr>
              <w:spacing w:before="20" w:after="20"/>
            </w:pPr>
            <w:r/>
            <w:r>
              <w:rPr>
                <w:rFonts w:ascii="Verdana" w:hAnsi="Verdana"/>
                <w:b w:val="0"/>
                <w:sz w:val="16"/>
              </w:rPr>
              <w:t>Tipo de imagen de la nube del número de PT</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0 19 118</w:t>
            </w:r>
          </w:p>
        </w:tc>
        <w:tc>
          <w:tcPr>
            <w:tcW w:type="dxa" w:w="1514"/>
          </w:tcPr>
          <w:p>
            <w:pPr>
              <w:spacing w:before="20" w:after="20"/>
            </w:pPr>
            <w:r/>
            <w:r>
              <w:rPr>
                <w:rFonts w:ascii="Verdana" w:hAnsi="Verdana"/>
                <w:b w:val="0"/>
                <w:sz w:val="16"/>
              </w:rPr>
              <w:t>Número tropical final (T) del ciclón tropical</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0 19 119</w:t>
            </w:r>
          </w:p>
        </w:tc>
        <w:tc>
          <w:tcPr>
            <w:tcW w:type="dxa" w:w="1514"/>
          </w:tcPr>
          <w:p>
            <w:pPr>
              <w:spacing w:before="20" w:after="20"/>
            </w:pPr>
            <w:r/>
            <w:r>
              <w:rPr>
                <w:rFonts w:ascii="Verdana" w:hAnsi="Verdana"/>
                <w:b w:val="0"/>
                <w:sz w:val="16"/>
              </w:rPr>
              <w:t>Tipo del número T final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0 19 150</w:t>
            </w:r>
          </w:p>
        </w:tc>
        <w:tc>
          <w:tcPr>
            <w:tcW w:type="dxa" w:w="1514"/>
          </w:tcPr>
          <w:p>
            <w:pPr>
              <w:spacing w:before="20" w:after="20"/>
            </w:pPr>
            <w:r/>
            <w:r>
              <w:rPr>
                <w:rFonts w:ascii="Verdana" w:hAnsi="Verdana"/>
                <w:b w:val="0"/>
                <w:sz w:val="16"/>
              </w:rPr>
              <w:t>Número Internacional Común del Tifón (Comité de Tifones)</w:t>
            </w:r>
          </w:p>
        </w:tc>
        <w:tc>
          <w:tcPr>
            <w:tcW w:type="dxa" w:w="1514"/>
          </w:tcPr>
          <w:p>
            <w:pPr>
              <w:spacing w:before="20" w:after="20"/>
            </w:pPr>
            <w:r/>
            <w:r>
              <w:rPr>
                <w:rFonts w:ascii="Verdana" w:hAnsi="Verdana"/>
                <w:sz w:val="16"/>
              </w:rPr>
              <w:t>CCITTIA5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Carácter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