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04 : Situation (dans le temps)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0 04 001</w:t>
            </w:r>
          </w:p>
        </w:tc>
        <w:tc>
          <w:tcPr>
            <w:tcW w:type="dxa" w:w="1514"/>
          </w:tcPr>
          <w:p>
            <w:pPr>
              <w:spacing w:before="20" w:after="20"/>
            </w:pPr>
            <w:r/>
            <w:r>
              <w:rPr>
                <w:rFonts w:ascii="Verdana" w:hAnsi="Verdana"/>
                <w:b w:val="0"/>
                <w:sz w:val="16"/>
              </w:rPr>
              <w:t>Année</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0 04 002</w:t>
            </w:r>
          </w:p>
        </w:tc>
        <w:tc>
          <w:tcPr>
            <w:tcW w:type="dxa" w:w="1514"/>
          </w:tcPr>
          <w:p>
            <w:pPr>
              <w:spacing w:before="20" w:after="20"/>
            </w:pPr>
            <w:r/>
            <w:r>
              <w:rPr>
                <w:rFonts w:ascii="Verdana" w:hAnsi="Verdana"/>
                <w:b w:val="0"/>
                <w:sz w:val="16"/>
              </w:rPr>
              <w:t>Mois</w:t>
            </w:r>
          </w:p>
        </w:tc>
        <w:tc>
          <w:tcPr>
            <w:tcW w:type="dxa" w:w="1514"/>
          </w:tcPr>
          <w:p>
            <w:pPr>
              <w:spacing w:before="20" w:after="20"/>
            </w:pPr>
            <w:r/>
            <w:r>
              <w:rPr>
                <w:rFonts w:ascii="Verdana" w:hAnsi="Verdana"/>
                <w:sz w:val="16"/>
              </w:rPr>
              <w:t>mon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mon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0 04 003</w:t>
            </w:r>
          </w:p>
        </w:tc>
        <w:tc>
          <w:tcPr>
            <w:tcW w:type="dxa" w:w="1514"/>
          </w:tcPr>
          <w:p>
            <w:pPr>
              <w:spacing w:before="20" w:after="20"/>
            </w:pPr>
            <w:r/>
            <w:r>
              <w:rPr>
                <w:rFonts w:ascii="Verdana" w:hAnsi="Verdana"/>
                <w:b w:val="0"/>
                <w:sz w:val="16"/>
              </w:rPr>
              <w:t>Jour</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0 04 004</w:t>
            </w:r>
          </w:p>
        </w:tc>
        <w:tc>
          <w:tcPr>
            <w:tcW w:type="dxa" w:w="1514"/>
          </w:tcPr>
          <w:p>
            <w:pPr>
              <w:spacing w:before="20" w:after="20"/>
            </w:pPr>
            <w:r/>
            <w:r>
              <w:rPr>
                <w:rFonts w:ascii="Verdana" w:hAnsi="Verdana"/>
                <w:b w:val="0"/>
                <w:sz w:val="16"/>
              </w:rPr>
              <w:t>Heure</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0 04 005</w:t>
            </w:r>
          </w:p>
        </w:tc>
        <w:tc>
          <w:tcPr>
            <w:tcW w:type="dxa" w:w="1514"/>
          </w:tcPr>
          <w:p>
            <w:pPr>
              <w:spacing w:before="20" w:after="20"/>
            </w:pPr>
            <w:r/>
            <w:r>
              <w:rPr>
                <w:rFonts w:ascii="Verdana" w:hAnsi="Verdana"/>
                <w:b w:val="0"/>
                <w:sz w:val="16"/>
              </w:rPr>
              <w:t>Minute</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0 04 006</w:t>
            </w:r>
          </w:p>
        </w:tc>
        <w:tc>
          <w:tcPr>
            <w:tcW w:type="dxa" w:w="1514"/>
          </w:tcPr>
          <w:p>
            <w:pPr>
              <w:spacing w:before="20" w:after="20"/>
            </w:pPr>
            <w:r/>
            <w:r>
              <w:rPr>
                <w:rFonts w:ascii="Verdana" w:hAnsi="Verdana"/>
                <w:b w:val="0"/>
                <w:sz w:val="16"/>
              </w:rPr>
              <w:t>Seconde</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0 04 007</w:t>
            </w:r>
          </w:p>
        </w:tc>
        <w:tc>
          <w:tcPr>
            <w:tcW w:type="dxa" w:w="1514"/>
          </w:tcPr>
          <w:p>
            <w:pPr>
              <w:spacing w:before="20" w:after="20"/>
            </w:pPr>
            <w:r/>
            <w:r>
              <w:rPr>
                <w:rFonts w:ascii="Verdana" w:hAnsi="Verdana"/>
                <w:b w:val="0"/>
                <w:sz w:val="16"/>
              </w:rPr>
              <w:t>Secondes par minute (à la microseconde près)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0 04 011</w:t>
            </w:r>
          </w:p>
        </w:tc>
        <w:tc>
          <w:tcPr>
            <w:tcW w:type="dxa" w:w="1514"/>
          </w:tcPr>
          <w:p>
            <w:pPr>
              <w:spacing w:before="20" w:after="20"/>
            </w:pPr>
            <w:r/>
            <w:r>
              <w:rPr>
                <w:rFonts w:ascii="Verdana" w:hAnsi="Verdana"/>
                <w:b w:val="0"/>
                <w:sz w:val="16"/>
              </w:rPr>
              <w:t>Incrément temporel</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0 04 012</w:t>
            </w:r>
          </w:p>
        </w:tc>
        <w:tc>
          <w:tcPr>
            <w:tcW w:type="dxa" w:w="1514"/>
          </w:tcPr>
          <w:p>
            <w:pPr>
              <w:spacing w:before="20" w:after="20"/>
            </w:pPr>
            <w:r/>
            <w:r>
              <w:rPr>
                <w:rFonts w:ascii="Verdana" w:hAnsi="Verdana"/>
                <w:b w:val="0"/>
                <w:sz w:val="16"/>
              </w:rPr>
              <w:t>Incrément temporel</w:t>
            </w:r>
          </w:p>
        </w:tc>
        <w:tc>
          <w:tcPr>
            <w:tcW w:type="dxa" w:w="1514"/>
          </w:tcPr>
          <w:p>
            <w:pPr>
              <w:spacing w:before="20" w:after="20"/>
            </w:pPr>
            <w:r/>
            <w:r>
              <w:rPr>
                <w:rFonts w:ascii="Verdana" w:hAnsi="Verdana"/>
                <w:sz w:val="16"/>
              </w:rPr>
              <w:t>mon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mon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0 04 013</w:t>
            </w:r>
          </w:p>
        </w:tc>
        <w:tc>
          <w:tcPr>
            <w:tcW w:type="dxa" w:w="1514"/>
          </w:tcPr>
          <w:p>
            <w:pPr>
              <w:spacing w:before="20" w:after="20"/>
            </w:pPr>
            <w:r/>
            <w:r>
              <w:rPr>
                <w:rFonts w:ascii="Verdana" w:hAnsi="Verdana"/>
                <w:b w:val="0"/>
                <w:sz w:val="16"/>
              </w:rPr>
              <w:t>Incrément temporel</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0 04 014</w:t>
            </w:r>
          </w:p>
        </w:tc>
        <w:tc>
          <w:tcPr>
            <w:tcW w:type="dxa" w:w="1514"/>
          </w:tcPr>
          <w:p>
            <w:pPr>
              <w:spacing w:before="20" w:after="20"/>
            </w:pPr>
            <w:r/>
            <w:r>
              <w:rPr>
                <w:rFonts w:ascii="Verdana" w:hAnsi="Verdana"/>
                <w:b w:val="0"/>
                <w:sz w:val="16"/>
              </w:rPr>
              <w:t>Incrément temporel</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0 04 015</w:t>
            </w:r>
          </w:p>
        </w:tc>
        <w:tc>
          <w:tcPr>
            <w:tcW w:type="dxa" w:w="1514"/>
          </w:tcPr>
          <w:p>
            <w:pPr>
              <w:spacing w:before="20" w:after="20"/>
            </w:pPr>
            <w:r/>
            <w:r>
              <w:rPr>
                <w:rFonts w:ascii="Verdana" w:hAnsi="Verdana"/>
                <w:b w:val="0"/>
                <w:sz w:val="16"/>
              </w:rPr>
              <w:t>Incrément temporel</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-2048</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0 04 016</w:t>
            </w:r>
          </w:p>
        </w:tc>
        <w:tc>
          <w:tcPr>
            <w:tcW w:type="dxa" w:w="1514"/>
          </w:tcPr>
          <w:p>
            <w:pPr>
              <w:spacing w:before="20" w:after="20"/>
            </w:pPr>
            <w:r/>
            <w:r>
              <w:rPr>
                <w:rFonts w:ascii="Verdana" w:hAnsi="Verdana"/>
                <w:b w:val="0"/>
                <w:sz w:val="16"/>
              </w:rPr>
              <w:t>Incrément temporel</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0 04 017</w:t>
            </w:r>
          </w:p>
        </w:tc>
        <w:tc>
          <w:tcPr>
            <w:tcW w:type="dxa" w:w="1514"/>
          </w:tcPr>
          <w:p>
            <w:pPr>
              <w:spacing w:before="20" w:after="20"/>
            </w:pPr>
            <w:r/>
            <w:r>
              <w:rPr>
                <w:rFonts w:ascii="Verdana" w:hAnsi="Verdana"/>
                <w:b w:val="0"/>
                <w:sz w:val="16"/>
              </w:rPr>
              <w:t>Période de référence pour les données relatives à des valeurs accumulées ou extrêmes</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-1440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0 04 021</w:t>
            </w:r>
          </w:p>
        </w:tc>
        <w:tc>
          <w:tcPr>
            <w:tcW w:type="dxa" w:w="1514"/>
          </w:tcPr>
          <w:p>
            <w:pPr>
              <w:spacing w:before="20" w:after="20"/>
            </w:pPr>
            <w:r/>
            <w:r>
              <w:rPr>
                <w:rFonts w:ascii="Verdana" w:hAnsi="Verdana"/>
                <w:b w:val="0"/>
                <w:sz w:val="16"/>
              </w:rPr>
              <w:t>Période ou décalage dans le temps</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0 04 022</w:t>
            </w:r>
          </w:p>
        </w:tc>
        <w:tc>
          <w:tcPr>
            <w:tcW w:type="dxa" w:w="1514"/>
          </w:tcPr>
          <w:p>
            <w:pPr>
              <w:spacing w:before="20" w:after="20"/>
            </w:pPr>
            <w:r/>
            <w:r>
              <w:rPr>
                <w:rFonts w:ascii="Verdana" w:hAnsi="Verdana"/>
                <w:b w:val="0"/>
                <w:sz w:val="16"/>
              </w:rPr>
              <w:t>Période ou décalage dans le temps</w:t>
            </w:r>
          </w:p>
        </w:tc>
        <w:tc>
          <w:tcPr>
            <w:tcW w:type="dxa" w:w="1514"/>
          </w:tcPr>
          <w:p>
            <w:pPr>
              <w:spacing w:before="20" w:after="20"/>
            </w:pPr>
            <w:r/>
            <w:r>
              <w:rPr>
                <w:rFonts w:ascii="Verdana" w:hAnsi="Verdana"/>
                <w:sz w:val="16"/>
              </w:rPr>
              <w:t>mon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mon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0 04 023</w:t>
            </w:r>
          </w:p>
        </w:tc>
        <w:tc>
          <w:tcPr>
            <w:tcW w:type="dxa" w:w="1514"/>
          </w:tcPr>
          <w:p>
            <w:pPr>
              <w:spacing w:before="20" w:after="20"/>
            </w:pPr>
            <w:r/>
            <w:r>
              <w:rPr>
                <w:rFonts w:ascii="Verdana" w:hAnsi="Verdana"/>
                <w:b w:val="0"/>
                <w:sz w:val="16"/>
              </w:rPr>
              <w:t>Période ou décalage dans le temps</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0 04 024</w:t>
            </w:r>
          </w:p>
        </w:tc>
        <w:tc>
          <w:tcPr>
            <w:tcW w:type="dxa" w:w="1514"/>
          </w:tcPr>
          <w:p>
            <w:pPr>
              <w:spacing w:before="20" w:after="20"/>
            </w:pPr>
            <w:r/>
            <w:r>
              <w:rPr>
                <w:rFonts w:ascii="Verdana" w:hAnsi="Verdana"/>
                <w:b w:val="0"/>
                <w:sz w:val="16"/>
              </w:rPr>
              <w:t>Période ou décalage dans le temps</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-2048</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0 04 025</w:t>
            </w:r>
          </w:p>
        </w:tc>
        <w:tc>
          <w:tcPr>
            <w:tcW w:type="dxa" w:w="1514"/>
          </w:tcPr>
          <w:p>
            <w:pPr>
              <w:spacing w:before="20" w:after="20"/>
            </w:pPr>
            <w:r/>
            <w:r>
              <w:rPr>
                <w:rFonts w:ascii="Verdana" w:hAnsi="Verdana"/>
                <w:b w:val="0"/>
                <w:sz w:val="16"/>
              </w:rPr>
              <w:t>Période ou décalage dans le temps</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-2048</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0 04 026</w:t>
            </w:r>
          </w:p>
        </w:tc>
        <w:tc>
          <w:tcPr>
            <w:tcW w:type="dxa" w:w="1514"/>
          </w:tcPr>
          <w:p>
            <w:pPr>
              <w:spacing w:before="20" w:after="20"/>
            </w:pPr>
            <w:r/>
            <w:r>
              <w:rPr>
                <w:rFonts w:ascii="Verdana" w:hAnsi="Verdana"/>
                <w:b w:val="0"/>
                <w:sz w:val="16"/>
              </w:rPr>
              <w:t>Période ou décalage dans le temps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0 04 031</w:t>
            </w:r>
          </w:p>
        </w:tc>
        <w:tc>
          <w:tcPr>
            <w:tcW w:type="dxa" w:w="1514"/>
          </w:tcPr>
          <w:p>
            <w:pPr>
              <w:spacing w:before="20" w:after="20"/>
            </w:pPr>
            <w:r/>
            <w:r>
              <w:rPr>
                <w:rFonts w:ascii="Verdana" w:hAnsi="Verdana"/>
                <w:b w:val="0"/>
                <w:sz w:val="16"/>
              </w:rPr>
              <w:t>Période à laquelle se rapporte la valeur suivante</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0 04 032</w:t>
            </w:r>
          </w:p>
        </w:tc>
        <w:tc>
          <w:tcPr>
            <w:tcW w:type="dxa" w:w="1514"/>
          </w:tcPr>
          <w:p>
            <w:pPr>
              <w:spacing w:before="20" w:after="20"/>
            </w:pPr>
            <w:r/>
            <w:r>
              <w:rPr>
                <w:rFonts w:ascii="Verdana" w:hAnsi="Verdana"/>
                <w:b w:val="0"/>
                <w:sz w:val="16"/>
              </w:rPr>
              <w:t>Période à laquelle se rapporte la valeur suivante</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0 04 041</w:t>
            </w:r>
          </w:p>
        </w:tc>
        <w:tc>
          <w:tcPr>
            <w:tcW w:type="dxa" w:w="1514"/>
          </w:tcPr>
          <w:p>
            <w:pPr>
              <w:spacing w:before="20" w:after="20"/>
            </w:pPr>
            <w:r/>
            <w:r>
              <w:rPr>
                <w:rFonts w:ascii="Verdana" w:hAnsi="Verdana"/>
                <w:b w:val="0"/>
                <w:sz w:val="16"/>
              </w:rPr>
              <w:t>Décalage dans le temps UTC-LMT</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-1440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B48: Le descripteur 0 04 041, remplacé par la combinaison des descripteurs 0 08 025 et 0 26 003, ne doit pas être utilisé pour le codage de cet élément.</w:t>
            </w:r>
          </w:p>
        </w:tc>
      </w:tr>
      <w:tr>
        <w:trPr>
          <w:cantSplit/>
        </w:trPr>
        <w:tc>
          <w:tcPr>
            <w:tcW w:type="dxa" w:w="1514"/>
          </w:tcPr>
          <w:p>
            <w:pPr>
              <w:spacing w:before="20" w:after="20"/>
            </w:pPr>
            <w:r/>
            <w:r>
              <w:rPr>
                <w:rFonts w:ascii="Verdana" w:hAnsi="Verdana"/>
                <w:b w:val="0"/>
                <w:sz w:val="16"/>
              </w:rPr>
              <w:t>0 04 043</w:t>
            </w:r>
          </w:p>
        </w:tc>
        <w:tc>
          <w:tcPr>
            <w:tcW w:type="dxa" w:w="1514"/>
          </w:tcPr>
          <w:p>
            <w:pPr>
              <w:spacing w:before="20" w:after="20"/>
            </w:pPr>
            <w:r/>
            <w:r>
              <w:rPr>
                <w:rFonts w:ascii="Verdana" w:hAnsi="Verdana"/>
                <w:b w:val="0"/>
                <w:sz w:val="16"/>
              </w:rPr>
              <w:t>Jour de l'année</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0 04 051</w:t>
            </w:r>
          </w:p>
        </w:tc>
        <w:tc>
          <w:tcPr>
            <w:tcW w:type="dxa" w:w="1514"/>
          </w:tcPr>
          <w:p>
            <w:pPr>
              <w:spacing w:before="20" w:after="20"/>
            </w:pPr>
            <w:r/>
            <w:r>
              <w:rPr>
                <w:rFonts w:ascii="Verdana" w:hAnsi="Verdana"/>
                <w:b w:val="0"/>
                <w:sz w:val="16"/>
              </w:rPr>
              <w:t>Heure principale à laquelle la température maximale est relevée quotidiennement</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0 04 052</w:t>
            </w:r>
          </w:p>
        </w:tc>
        <w:tc>
          <w:tcPr>
            <w:tcW w:type="dxa" w:w="1514"/>
          </w:tcPr>
          <w:p>
            <w:pPr>
              <w:spacing w:before="20" w:after="20"/>
            </w:pPr>
            <w:r/>
            <w:r>
              <w:rPr>
                <w:rFonts w:ascii="Verdana" w:hAnsi="Verdana"/>
                <w:b w:val="0"/>
                <w:sz w:val="16"/>
              </w:rPr>
              <w:t>Heure principale à laquelle la température minimale est relevée quotidiennement</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0 04 053</w:t>
            </w:r>
          </w:p>
        </w:tc>
        <w:tc>
          <w:tcPr>
            <w:tcW w:type="dxa" w:w="1514"/>
          </w:tcPr>
          <w:p>
            <w:pPr>
              <w:spacing w:before="20" w:after="20"/>
            </w:pPr>
            <w:r/>
            <w:r>
              <w:rPr>
                <w:rFonts w:ascii="Verdana" w:hAnsi="Verdana"/>
                <w:b w:val="0"/>
                <w:sz w:val="16"/>
              </w:rPr>
              <w:t>Nombre de jours avec précipitations égales ou supérieures à 1 mm</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0 04 059</w:t>
            </w:r>
          </w:p>
        </w:tc>
        <w:tc>
          <w:tcPr>
            <w:tcW w:type="dxa" w:w="1514"/>
          </w:tcPr>
          <w:p>
            <w:pPr>
              <w:spacing w:before="20" w:after="20"/>
            </w:pPr>
            <w:r/>
            <w:r>
              <w:rPr>
                <w:rFonts w:ascii="Verdana" w:hAnsi="Verdana"/>
                <w:b w:val="0"/>
                <w:sz w:val="16"/>
              </w:rPr>
              <w:t>Heures des observations servant à calculer les valeurs moyennes transmises</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0 04 065</w:t>
            </w:r>
          </w:p>
        </w:tc>
        <w:tc>
          <w:tcPr>
            <w:tcW w:type="dxa" w:w="1514"/>
          </w:tcPr>
          <w:p>
            <w:pPr>
              <w:spacing w:before="20" w:after="20"/>
            </w:pPr>
            <w:r/>
            <w:r>
              <w:rPr>
                <w:rFonts w:ascii="Verdana" w:hAnsi="Verdana"/>
                <w:b w:val="0"/>
                <w:sz w:val="16"/>
              </w:rPr>
              <w:t>Incrément de courte durée</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0 04 066</w:t>
            </w:r>
          </w:p>
        </w:tc>
        <w:tc>
          <w:tcPr>
            <w:tcW w:type="dxa" w:w="1514"/>
          </w:tcPr>
          <w:p>
            <w:pPr>
              <w:spacing w:before="20" w:after="20"/>
            </w:pPr>
            <w:r/>
            <w:r>
              <w:rPr>
                <w:rFonts w:ascii="Verdana" w:hAnsi="Verdana"/>
                <w:b w:val="0"/>
                <w:sz w:val="16"/>
              </w:rPr>
              <w:t>Incrément temporel de courte durée</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0 04 073</w:t>
            </w:r>
          </w:p>
        </w:tc>
        <w:tc>
          <w:tcPr>
            <w:tcW w:type="dxa" w:w="1514"/>
          </w:tcPr>
          <w:p>
            <w:pPr>
              <w:spacing w:before="20" w:after="20"/>
            </w:pPr>
            <w:r/>
            <w:r>
              <w:rPr>
                <w:rFonts w:ascii="Verdana" w:hAnsi="Verdana"/>
                <w:b w:val="0"/>
                <w:sz w:val="16"/>
              </w:rPr>
              <w:t>Période ou décalage dans le temps de courte durée</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0 04 074</w:t>
            </w:r>
          </w:p>
        </w:tc>
        <w:tc>
          <w:tcPr>
            <w:tcW w:type="dxa" w:w="1514"/>
          </w:tcPr>
          <w:p>
            <w:pPr>
              <w:spacing w:before="20" w:after="20"/>
            </w:pPr>
            <w:r/>
            <w:r>
              <w:rPr>
                <w:rFonts w:ascii="Verdana" w:hAnsi="Verdana"/>
                <w:b w:val="0"/>
                <w:sz w:val="16"/>
              </w:rPr>
              <w:t>Période ou décalage dans le temps de courte durée</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0 04 075</w:t>
            </w:r>
          </w:p>
        </w:tc>
        <w:tc>
          <w:tcPr>
            <w:tcW w:type="dxa" w:w="1514"/>
          </w:tcPr>
          <w:p>
            <w:pPr>
              <w:spacing w:before="20" w:after="20"/>
            </w:pPr>
            <w:r/>
            <w:r>
              <w:rPr>
                <w:rFonts w:ascii="Verdana" w:hAnsi="Verdana"/>
                <w:b w:val="0"/>
                <w:sz w:val="16"/>
              </w:rPr>
              <w:t>Période ou décalage dans le temps de courte durée</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0 04 080</w:t>
            </w:r>
          </w:p>
        </w:tc>
        <w:tc>
          <w:tcPr>
            <w:tcW w:type="dxa" w:w="1514"/>
          </w:tcPr>
          <w:p>
            <w:pPr>
              <w:spacing w:before="20" w:after="20"/>
            </w:pPr>
            <w:r/>
            <w:r>
              <w:rPr>
                <w:rFonts w:ascii="Verdana" w:hAnsi="Verdana"/>
                <w:b w:val="0"/>
                <w:sz w:val="16"/>
              </w:rPr>
              <w:t>Période à laquelle correspond la valeur moyenne qui suit</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0 04 086</w:t>
            </w:r>
          </w:p>
        </w:tc>
        <w:tc>
          <w:tcPr>
            <w:tcW w:type="dxa" w:w="1514"/>
          </w:tcPr>
          <w:p>
            <w:pPr>
              <w:spacing w:before="20" w:after="20"/>
            </w:pPr>
            <w:r/>
            <w:r>
              <w:rPr>
                <w:rFonts w:ascii="Verdana" w:hAnsi="Verdana"/>
                <w:b w:val="0"/>
                <w:sz w:val="16"/>
              </w:rPr>
              <w:t>Période ou décalage dans le temps de longue durée</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-8192</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bl>
    <w:p/>
    <w:p>
      <w:r>
        <w:rPr>
          <w:rFonts w:ascii="Verdana" w:hAnsi="Verdana"/>
          <w:i/>
          <w:sz w:val="14"/>
        </w:rPr>
        <w:t>Note B27: Sauf indication contraire, tous les temps sont des temps universels coordonnés (UTC).</w:t>
      </w:r>
    </w:p>
    <w:p>
      <w:r>
        <w:rPr>
          <w:rFonts w:ascii="Verdana" w:hAnsi="Verdana"/>
          <w:i/>
          <w:sz w:val="14"/>
        </w:rPr>
        <w:t>Note B105: Les périodes ou les décalages dans le temps négatifs sont utilisés pour indiquer les périodes ou les décalages dans le temps précédant le temps généralement défini.</w:t>
      </w:r>
    </w:p>
    <w:p>
      <w:r>
        <w:rPr>
          <w:rFonts w:ascii="Verdana" w:hAnsi="Verdana"/>
          <w:i/>
          <w:sz w:val="14"/>
        </w:rPr>
        <w:t>Note B145: Pour indiquer à quoi se rapportent les périodes ou les décalages dans le temps, on peut se servir du code donné pour la caractéristique temporelle dans la table 0 08 021.</w:t>
      </w:r>
    </w:p>
    <w:p>
      <w:r>
        <w:rPr>
          <w:rFonts w:ascii="Verdana" w:hAnsi="Verdana"/>
          <w:i/>
          <w:sz w:val="14"/>
        </w:rPr>
        <w:t>Note B149: Lorsque la situation dans le temps correspond à des valeurs de prévision, elle indique le temps de l'état initial ou le début de la période de prévision; si elle correspond à des moyennes d'ensemble de valeurs de prévisions, elle indique l'état initial ou le début de la première prévision d'où les moyennes d'ensemble sont dérivées.</w:t>
      </w:r>
    </w:p>
    <w:p>
      <w:r>
        <w:rPr>
          <w:rFonts w:ascii="Verdana" w:hAnsi="Verdana"/>
          <w:i/>
          <w:sz w:val="14"/>
        </w:rPr>
        <w:t>Note B158: Pour les périodes ou les décalages dans le temps et pour les incréments temporels, il faut préalablement une définition de l'origine de la position dans le temps, suivie, le cas échéant, d'une définition de l'élément qualificatif temporel.</w:t>
      </w:r>
    </w:p>
    <w:p>
      <w:r>
        <w:rPr>
          <w:rFonts w:ascii="Verdana" w:hAnsi="Verdana"/>
          <w:i/>
          <w:sz w:val="14"/>
        </w:rPr>
        <w:t>Note B176: Lorsqu'il faut plus d'une période ou d'un décalage dans le temps pour définir des indications temporelles complexes, les définitions se succèdent immédiatement, dans l'ordre suivant: période d'ensemble (le cas échéant); période de prévision (le cas échéant); période correspondant à une moyenne ou une accumulation (le cas échéant).</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