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10 : Position d'éléments autres que des coordonnées (verticale)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0 10 001</w:t>
            </w:r>
          </w:p>
        </w:tc>
        <w:tc>
          <w:tcPr>
            <w:tcW w:type="dxa" w:w="1514"/>
          </w:tcPr>
          <w:p>
            <w:pPr>
              <w:spacing w:before="20" w:after="20"/>
            </w:pPr>
            <w:r/>
            <w:r>
              <w:rPr>
                <w:rFonts w:ascii="Verdana" w:hAnsi="Verdana"/>
                <w:b w:val="0"/>
                <w:sz w:val="16"/>
              </w:rPr>
              <w:t>Hauteur de la surface terrestre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0 10 002</w:t>
            </w:r>
          </w:p>
        </w:tc>
        <w:tc>
          <w:tcPr>
            <w:tcW w:type="dxa" w:w="1514"/>
          </w:tcPr>
          <w:p>
            <w:pPr>
              <w:spacing w:before="20" w:after="20"/>
            </w:pPr>
            <w:r/>
            <w:r>
              <w:rPr>
                <w:rFonts w:ascii="Verdana" w:hAnsi="Verdana"/>
                <w:b w:val="0"/>
                <w:sz w:val="16"/>
              </w:rPr>
              <w:t>Hauteur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0 10 003</w:t>
            </w:r>
          </w:p>
        </w:tc>
        <w:tc>
          <w:tcPr>
            <w:tcW w:type="dxa" w:w="1514"/>
          </w:tcPr>
          <w:p>
            <w:pPr>
              <w:spacing w:before="20" w:after="20"/>
            </w:pPr>
            <w:r/>
            <w:r>
              <w:rPr>
                <w:rFonts w:ascii="Verdana" w:hAnsi="Verdana"/>
                <w:b w:val="0"/>
                <w:sz w:val="16"/>
              </w:rPr>
              <w:t>Géopotentiel</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0 10 004</w:t>
            </w:r>
          </w:p>
        </w:tc>
        <w:tc>
          <w:tcPr>
            <w:tcW w:type="dxa" w:w="1514"/>
          </w:tcPr>
          <w:p>
            <w:pPr>
              <w:spacing w:before="20" w:after="20"/>
            </w:pPr>
            <w:r/>
            <w:r>
              <w:rPr>
                <w:rFonts w:ascii="Verdana" w:hAnsi="Verdana"/>
                <w:b w:val="0"/>
                <w:sz w:val="16"/>
              </w:rPr>
              <w:t>Pression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0 10 007</w:t>
            </w:r>
          </w:p>
        </w:tc>
        <w:tc>
          <w:tcPr>
            <w:tcW w:type="dxa" w:w="1514"/>
          </w:tcPr>
          <w:p>
            <w:pPr>
              <w:spacing w:before="20" w:after="20"/>
            </w:pPr>
            <w:r/>
            <w:r>
              <w:rPr>
                <w:rFonts w:ascii="Verdana" w:hAnsi="Verdana"/>
                <w:b w:val="0"/>
                <w:sz w:val="16"/>
              </w:rPr>
              <w:t>Hauteur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0 10 008</w:t>
            </w:r>
          </w:p>
        </w:tc>
        <w:tc>
          <w:tcPr>
            <w:tcW w:type="dxa" w:w="1514"/>
          </w:tcPr>
          <w:p>
            <w:pPr>
              <w:spacing w:before="20" w:after="20"/>
            </w:pPr>
            <w:r/>
            <w:r>
              <w:rPr>
                <w:rFonts w:ascii="Verdana" w:hAnsi="Verdana"/>
                <w:b w:val="0"/>
                <w:sz w:val="16"/>
              </w:rPr>
              <w:t>Géopotentiel</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0 10 009</w:t>
            </w:r>
          </w:p>
        </w:tc>
        <w:tc>
          <w:tcPr>
            <w:tcW w:type="dxa" w:w="1514"/>
          </w:tcPr>
          <w:p>
            <w:pPr>
              <w:spacing w:before="20" w:after="20"/>
            </w:pPr>
            <w:r/>
            <w:r>
              <w:rPr>
                <w:rFonts w:ascii="Verdana" w:hAnsi="Verdana"/>
                <w:b w:val="0"/>
                <w:sz w:val="16"/>
              </w:rPr>
              <w:t>Hauteur géopotentielle</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0 10 010</w:t>
            </w:r>
          </w:p>
        </w:tc>
        <w:tc>
          <w:tcPr>
            <w:tcW w:type="dxa" w:w="1514"/>
          </w:tcPr>
          <w:p>
            <w:pPr>
              <w:spacing w:before="20" w:after="20"/>
            </w:pPr>
            <w:r/>
            <w:r>
              <w:rPr>
                <w:rFonts w:ascii="Verdana" w:hAnsi="Verdana"/>
                <w:b w:val="0"/>
                <w:sz w:val="16"/>
              </w:rPr>
              <w:t>Pression minimale réduite au niveau moyen des mers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0 10 011</w:t>
            </w:r>
          </w:p>
        </w:tc>
        <w:tc>
          <w:tcPr>
            <w:tcW w:type="dxa" w:w="1514"/>
          </w:tcPr>
          <w:p>
            <w:pPr>
              <w:spacing w:before="20" w:after="20"/>
            </w:pPr>
            <w:r/>
            <w:r>
              <w:rPr>
                <w:rFonts w:ascii="Verdana" w:hAnsi="Verdana"/>
                <w:b w:val="0"/>
                <w:sz w:val="16"/>
              </w:rPr>
              <w:t>Pression maximale réduite au niveau moyen des mers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0 10 031</w:t>
            </w:r>
          </w:p>
        </w:tc>
        <w:tc>
          <w:tcPr>
            <w:tcW w:type="dxa" w:w="1514"/>
          </w:tcPr>
          <w:p>
            <w:pPr>
              <w:spacing w:before="20" w:after="20"/>
            </w:pPr>
            <w:r/>
            <w:r>
              <w:rPr>
                <w:rFonts w:ascii="Verdana" w:hAnsi="Verdana"/>
                <w:b w:val="0"/>
                <w:sz w:val="16"/>
              </w:rPr>
              <w:t>En direction du pôle Nord, distance à partir du centre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B93: Des axes xyz situés à gauche ont été choisis pour le descripteur 0 10 031. | Note B150: La valeur du descripteur 0 10 031 a été sélectionnée de façon à convenir pour des satellites à orbite polaire plus ou moins synchrone avec le Soleil. Les orbites géostationnaires nécessiteraient des champs de données plus grands en ce qui concerne la distance et légèrement moins grands en ce qui concerne la vitesse.</w:t>
            </w:r>
          </w:p>
        </w:tc>
      </w:tr>
      <w:tr>
        <w:trPr>
          <w:cantSplit/>
        </w:trPr>
        <w:tc>
          <w:tcPr>
            <w:tcW w:type="dxa" w:w="1514"/>
          </w:tcPr>
          <w:p>
            <w:pPr>
              <w:spacing w:before="20" w:after="20"/>
            </w:pPr>
            <w:r/>
            <w:r>
              <w:rPr>
                <w:rFonts w:ascii="Verdana" w:hAnsi="Verdana"/>
                <w:b w:val="0"/>
                <w:sz w:val="16"/>
              </w:rPr>
              <w:t>0 10 032</w:t>
            </w:r>
          </w:p>
        </w:tc>
        <w:tc>
          <w:tcPr>
            <w:tcW w:type="dxa" w:w="1514"/>
          </w:tcPr>
          <w:p>
            <w:pPr>
              <w:spacing w:before="20" w:after="20"/>
            </w:pPr>
            <w:r/>
            <w:r>
              <w:rPr>
                <w:rFonts w:ascii="Verdana" w:hAnsi="Verdana"/>
                <w:b w:val="0"/>
                <w:sz w:val="16"/>
              </w:rPr>
              <w:t>Distance du satellite au centre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0 10 033</w:t>
            </w:r>
          </w:p>
        </w:tc>
        <w:tc>
          <w:tcPr>
            <w:tcW w:type="dxa" w:w="1514"/>
          </w:tcPr>
          <w:p>
            <w:pPr>
              <w:spacing w:before="20" w:after="20"/>
            </w:pPr>
            <w:r/>
            <w:r>
              <w:rPr>
                <w:rFonts w:ascii="Verdana" w:hAnsi="Verdana"/>
                <w:b w:val="0"/>
                <w:sz w:val="16"/>
              </w:rPr>
              <w:t>Altitude (de la plate-forme par rapport à l'ellipsoïde)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0 10 034</w:t>
            </w:r>
          </w:p>
        </w:tc>
        <w:tc>
          <w:tcPr>
            <w:tcW w:type="dxa" w:w="1514"/>
          </w:tcPr>
          <w:p>
            <w:pPr>
              <w:spacing w:before="20" w:after="20"/>
            </w:pPr>
            <w:r/>
            <w:r>
              <w:rPr>
                <w:rFonts w:ascii="Verdana" w:hAnsi="Verdana"/>
                <w:b w:val="0"/>
                <w:sz w:val="16"/>
              </w:rPr>
              <w:t>Rayon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0 10 035</w:t>
            </w:r>
          </w:p>
        </w:tc>
        <w:tc>
          <w:tcPr>
            <w:tcW w:type="dxa" w:w="1514"/>
          </w:tcPr>
          <w:p>
            <w:pPr>
              <w:spacing w:before="20" w:after="20"/>
            </w:pPr>
            <w:r/>
            <w:r>
              <w:rPr>
                <w:rFonts w:ascii="Verdana" w:hAnsi="Verdana"/>
                <w:b w:val="0"/>
                <w:sz w:val="16"/>
              </w:rPr>
              <w:t>Rayon de la courbure locale de la Terre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62000000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0 10 036</w:t>
            </w:r>
          </w:p>
        </w:tc>
        <w:tc>
          <w:tcPr>
            <w:tcW w:type="dxa" w:w="1514"/>
          </w:tcPr>
          <w:p>
            <w:pPr>
              <w:spacing w:before="20" w:after="20"/>
            </w:pPr>
            <w:r/>
            <w:r>
              <w:rPr>
                <w:rFonts w:ascii="Verdana" w:hAnsi="Verdana"/>
                <w:b w:val="0"/>
                <w:sz w:val="16"/>
              </w:rPr>
              <w:t>Ondulation du géoïde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-15000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B128: L’ondulation du géoïde correspond à la différence entre l’ellipsoïde de référence (WGS-84) et la hauteur au-dessus du géoïde (EGM-96) au lieu géographique de l’observation, les deux valeurs étant données par rapport au centre de gravité de la Terre.</w:t>
            </w:r>
          </w:p>
        </w:tc>
      </w:tr>
      <w:tr>
        <w:trPr>
          <w:cantSplit/>
        </w:trPr>
        <w:tc>
          <w:tcPr>
            <w:tcW w:type="dxa" w:w="1514"/>
          </w:tcPr>
          <w:p>
            <w:pPr>
              <w:spacing w:before="20" w:after="20"/>
            </w:pPr>
            <w:r/>
            <w:r>
              <w:rPr>
                <w:rFonts w:ascii="Verdana" w:hAnsi="Verdana"/>
                <w:b w:val="0"/>
                <w:sz w:val="16"/>
              </w:rPr>
              <w:t>0 10 038</w:t>
            </w:r>
          </w:p>
        </w:tc>
        <w:tc>
          <w:tcPr>
            <w:tcW w:type="dxa" w:w="1514"/>
          </w:tcPr>
          <w:p>
            <w:pPr>
              <w:spacing w:before="20" w:after="20"/>
            </w:pPr>
            <w:r/>
            <w:r>
              <w:rPr>
                <w:rFonts w:ascii="Verdana" w:hAnsi="Verdana"/>
                <w:b w:val="0"/>
                <w:sz w:val="16"/>
              </w:rPr>
              <w:t>Hauteur maximale de la pontée au-dessus de la ligne de charge d'été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0 10 039</w:t>
            </w:r>
          </w:p>
        </w:tc>
        <w:tc>
          <w:tcPr>
            <w:tcW w:type="dxa" w:w="1514"/>
          </w:tcPr>
          <w:p>
            <w:pPr>
              <w:spacing w:before="20" w:after="20"/>
            </w:pPr>
            <w:r/>
            <w:r>
              <w:rPr>
                <w:rFonts w:ascii="Verdana" w:hAnsi="Verdana"/>
                <w:b w:val="0"/>
                <w:sz w:val="16"/>
              </w:rPr>
              <w:t>Écart entre le niveau de référence (ligne de charge d'été maximale) et le niveau réel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0 10 040</w:t>
            </w:r>
          </w:p>
        </w:tc>
        <w:tc>
          <w:tcPr>
            <w:tcW w:type="dxa" w:w="1514"/>
          </w:tcPr>
          <w:p>
            <w:pPr>
              <w:spacing w:before="20" w:after="20"/>
            </w:pPr>
            <w:r/>
            <w:r>
              <w:rPr>
                <w:rFonts w:ascii="Verdana" w:hAnsi="Verdana"/>
                <w:b w:val="0"/>
                <w:sz w:val="16"/>
              </w:rPr>
              <w:t>Données extraites concernant le nombre de couches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0 10 050</w:t>
            </w:r>
          </w:p>
        </w:tc>
        <w:tc>
          <w:tcPr>
            <w:tcW w:type="dxa" w:w="1514"/>
          </w:tcPr>
          <w:p>
            <w:pPr>
              <w:spacing w:before="20" w:after="20"/>
            </w:pPr>
            <w:r/>
            <w:r>
              <w:rPr>
                <w:rFonts w:ascii="Verdana" w:hAnsi="Verdana"/>
                <w:b w:val="0"/>
                <w:sz w:val="16"/>
              </w:rPr>
              <w:t>Écart type de l'altitude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0 10 051</w:t>
            </w:r>
          </w:p>
        </w:tc>
        <w:tc>
          <w:tcPr>
            <w:tcW w:type="dxa" w:w="1514"/>
          </w:tcPr>
          <w:p>
            <w:pPr>
              <w:spacing w:before="20" w:after="20"/>
            </w:pPr>
            <w:r/>
            <w:r>
              <w:rPr>
                <w:rFonts w:ascii="Verdana" w:hAnsi="Verdana"/>
                <w:b w:val="0"/>
                <w:sz w:val="16"/>
              </w:rPr>
              <w:t>Pression ramenée au niveau moyen de la mer</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0 10 052</w:t>
            </w:r>
          </w:p>
        </w:tc>
        <w:tc>
          <w:tcPr>
            <w:tcW w:type="dxa" w:w="1514"/>
          </w:tcPr>
          <w:p>
            <w:pPr>
              <w:spacing w:before="20" w:after="20"/>
            </w:pPr>
            <w:r/>
            <w:r>
              <w:rPr>
                <w:rFonts w:ascii="Verdana" w:hAnsi="Verdana"/>
                <w:b w:val="0"/>
                <w:sz w:val="16"/>
              </w:rPr>
              <w:t>Calage de l'altimètre (QNH)</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0 10 053</w:t>
            </w:r>
          </w:p>
        </w:tc>
        <w:tc>
          <w:tcPr>
            <w:tcW w:type="dxa" w:w="1514"/>
          </w:tcPr>
          <w:p>
            <w:pPr>
              <w:spacing w:before="20" w:after="20"/>
            </w:pPr>
            <w:r/>
            <w:r>
              <w:rPr>
                <w:rFonts w:ascii="Verdana" w:hAnsi="Verdana"/>
                <w:b w:val="0"/>
                <w:sz w:val="16"/>
              </w:rPr>
              <w:t>Altitude GNSS (Système mondial de navigation par satellite)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0 10 060</w:t>
            </w:r>
          </w:p>
        </w:tc>
        <w:tc>
          <w:tcPr>
            <w:tcW w:type="dxa" w:w="1514"/>
          </w:tcPr>
          <w:p>
            <w:pPr>
              <w:spacing w:before="20" w:after="20"/>
            </w:pPr>
            <w:r/>
            <w:r>
              <w:rPr>
                <w:rFonts w:ascii="Verdana" w:hAnsi="Verdana"/>
                <w:b w:val="0"/>
                <w:sz w:val="16"/>
              </w:rPr>
              <w:t>Variation de pression</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0 10 061</w:t>
            </w:r>
          </w:p>
        </w:tc>
        <w:tc>
          <w:tcPr>
            <w:tcW w:type="dxa" w:w="1514"/>
          </w:tcPr>
          <w:p>
            <w:pPr>
              <w:spacing w:before="20" w:after="20"/>
            </w:pPr>
            <w:r/>
            <w:r>
              <w:rPr>
                <w:rFonts w:ascii="Verdana" w:hAnsi="Verdana"/>
                <w:b w:val="0"/>
                <w:sz w:val="16"/>
              </w:rPr>
              <w:t>Variation de pression en 3 heures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-500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0 10 062</w:t>
            </w:r>
          </w:p>
        </w:tc>
        <w:tc>
          <w:tcPr>
            <w:tcW w:type="dxa" w:w="1514"/>
          </w:tcPr>
          <w:p>
            <w:pPr>
              <w:spacing w:before="20" w:after="20"/>
            </w:pPr>
            <w:r/>
            <w:r>
              <w:rPr>
                <w:rFonts w:ascii="Verdana" w:hAnsi="Verdana"/>
                <w:b w:val="0"/>
                <w:sz w:val="16"/>
              </w:rPr>
              <w:t>Variation de pression en 24 heures</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0 10 063</w:t>
            </w:r>
          </w:p>
        </w:tc>
        <w:tc>
          <w:tcPr>
            <w:tcW w:type="dxa" w:w="1514"/>
          </w:tcPr>
          <w:p>
            <w:pPr>
              <w:spacing w:before="20" w:after="20"/>
            </w:pPr>
            <w:r/>
            <w:r>
              <w:rPr>
                <w:rFonts w:ascii="Verdana" w:hAnsi="Verdana"/>
                <w:b w:val="0"/>
                <w:sz w:val="16"/>
              </w:rPr>
              <w:t>Caractéristique de la tendance barométrique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0 10 064</w:t>
            </w:r>
          </w:p>
        </w:tc>
        <w:tc>
          <w:tcPr>
            <w:tcW w:type="dxa" w:w="1514"/>
          </w:tcPr>
          <w:p>
            <w:pPr>
              <w:spacing w:before="20" w:after="20"/>
            </w:pPr>
            <w:r/>
            <w:r>
              <w:rPr>
                <w:rFonts w:ascii="Verdana" w:hAnsi="Verdana"/>
                <w:b w:val="0"/>
                <w:sz w:val="16"/>
              </w:rPr>
              <w:t>Niveau de croisière-SIGMET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0 10 070</w:t>
            </w:r>
          </w:p>
        </w:tc>
        <w:tc>
          <w:tcPr>
            <w:tcW w:type="dxa" w:w="1514"/>
          </w:tcPr>
          <w:p>
            <w:pPr>
              <w:spacing w:before="20" w:after="20"/>
            </w:pPr>
            <w:r/>
            <w:r>
              <w:rPr>
                <w:rFonts w:ascii="Verdana" w:hAnsi="Verdana"/>
                <w:b w:val="0"/>
                <w:sz w:val="16"/>
              </w:rPr>
              <w:t>Altitude de l'aéronef indiquée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0 10 071</w:t>
            </w:r>
          </w:p>
        </w:tc>
        <w:tc>
          <w:tcPr>
            <w:tcW w:type="dxa" w:w="1514"/>
          </w:tcPr>
          <w:p>
            <w:pPr>
              <w:spacing w:before="20" w:after="20"/>
            </w:pPr>
            <w:r/>
            <w:r>
              <w:rPr>
                <w:rFonts w:ascii="Verdana" w:hAnsi="Verdana"/>
                <w:b w:val="0"/>
                <w:sz w:val="16"/>
              </w:rPr>
              <w:t>Résolution verticale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0 10 079</w:t>
            </w:r>
          </w:p>
        </w:tc>
        <w:tc>
          <w:tcPr>
            <w:tcW w:type="dxa" w:w="1514"/>
          </w:tcPr>
          <w:p>
            <w:pPr>
              <w:spacing w:before="20" w:after="20"/>
            </w:pPr>
            <w:r/>
            <w:r>
              <w:rPr>
                <w:rFonts w:ascii="Verdana" w:hAnsi="Verdana"/>
                <w:b w:val="0"/>
                <w:sz w:val="16"/>
              </w:rPr>
              <w:t>Angle de décalage du satellite par rapport au nadir, calculé à partir de l'assiette de la plate-forme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0 10 080</w:t>
            </w:r>
          </w:p>
        </w:tc>
        <w:tc>
          <w:tcPr>
            <w:tcW w:type="dxa" w:w="1514"/>
          </w:tcPr>
          <w:p>
            <w:pPr>
              <w:spacing w:before="20" w:after="20"/>
            </w:pPr>
            <w:r/>
            <w:r>
              <w:rPr>
                <w:rFonts w:ascii="Verdana" w:hAnsi="Verdana"/>
                <w:b w:val="0"/>
                <w:sz w:val="16"/>
              </w:rPr>
              <w:t>Distance zénithale de la visée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0 10 081</w:t>
            </w:r>
          </w:p>
        </w:tc>
        <w:tc>
          <w:tcPr>
            <w:tcW w:type="dxa" w:w="1514"/>
          </w:tcPr>
          <w:p>
            <w:pPr>
              <w:spacing w:before="20" w:after="20"/>
            </w:pPr>
            <w:r/>
            <w:r>
              <w:rPr>
                <w:rFonts w:ascii="Verdana" w:hAnsi="Verdana"/>
                <w:b w:val="0"/>
                <w:sz w:val="16"/>
              </w:rPr>
              <w:t>Altitude du centre de gravité au-dessus de l'ellipsoïde de référence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0 10 082</w:t>
            </w:r>
          </w:p>
        </w:tc>
        <w:tc>
          <w:tcPr>
            <w:tcW w:type="dxa" w:w="1514"/>
          </w:tcPr>
          <w:p>
            <w:pPr>
              <w:spacing w:before="20" w:after="20"/>
            </w:pPr>
            <w:r/>
            <w:r>
              <w:rPr>
                <w:rFonts w:ascii="Verdana" w:hAnsi="Verdana"/>
                <w:b w:val="0"/>
                <w:sz w:val="16"/>
              </w:rPr>
              <w:t>Taux de variation d'altitude instantané</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-65536</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0 10 083</w:t>
            </w:r>
          </w:p>
        </w:tc>
        <w:tc>
          <w:tcPr>
            <w:tcW w:type="dxa" w:w="1514"/>
          </w:tcPr>
          <w:p>
            <w:pPr>
              <w:spacing w:before="20" w:after="20"/>
            </w:pPr>
            <w:r/>
            <w:r>
              <w:rPr>
                <w:rFonts w:ascii="Verdana" w:hAnsi="Verdana"/>
                <w:b w:val="0"/>
                <w:sz w:val="16"/>
              </w:rPr>
              <w:t>Carré de l'angle de décalage du satellite par rapport au nadir, calculé à partir de l'assiette de la plate-forme</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0 10 084</w:t>
            </w:r>
          </w:p>
        </w:tc>
        <w:tc>
          <w:tcPr>
            <w:tcW w:type="dxa" w:w="1514"/>
          </w:tcPr>
          <w:p>
            <w:pPr>
              <w:spacing w:before="20" w:after="20"/>
            </w:pPr>
            <w:r/>
            <w:r>
              <w:rPr>
                <w:rFonts w:ascii="Verdana" w:hAnsi="Verdana"/>
                <w:b w:val="0"/>
                <w:sz w:val="16"/>
              </w:rPr>
              <w:t>Carré de l'angle de décalage du satellite par rapport au nadir, calculé à partir de la forme des ondes</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0 10 085</w:t>
            </w:r>
          </w:p>
        </w:tc>
        <w:tc>
          <w:tcPr>
            <w:tcW w:type="dxa" w:w="1514"/>
          </w:tcPr>
          <w:p>
            <w:pPr>
              <w:spacing w:before="20" w:after="20"/>
            </w:pPr>
            <w:r/>
            <w:r>
              <w:rPr>
                <w:rFonts w:ascii="Verdana" w:hAnsi="Verdana"/>
                <w:b w:val="0"/>
                <w:sz w:val="16"/>
              </w:rPr>
              <w:t>Hauteur moyenne de la surface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0 10 086</w:t>
            </w:r>
          </w:p>
        </w:tc>
        <w:tc>
          <w:tcPr>
            <w:tcW w:type="dxa" w:w="1514"/>
          </w:tcPr>
          <w:p>
            <w:pPr>
              <w:spacing w:before="20" w:after="20"/>
            </w:pPr>
            <w:r/>
            <w:r>
              <w:rPr>
                <w:rFonts w:ascii="Verdana" w:hAnsi="Verdana"/>
                <w:b w:val="0"/>
                <w:sz w:val="16"/>
              </w:rPr>
              <w:t>Hauteur du géoïde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0 10 087</w:t>
            </w:r>
          </w:p>
        </w:tc>
        <w:tc>
          <w:tcPr>
            <w:tcW w:type="dxa" w:w="1514"/>
          </w:tcPr>
          <w:p>
            <w:pPr>
              <w:spacing w:before="20" w:after="20"/>
            </w:pPr>
            <w:r/>
            <w:r>
              <w:rPr>
                <w:rFonts w:ascii="Verdana" w:hAnsi="Verdana"/>
                <w:b w:val="0"/>
                <w:sz w:val="16"/>
              </w:rPr>
              <w:t>Profondeur de l'océan ou altitude des terres émergées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0 10 088</w:t>
            </w:r>
          </w:p>
        </w:tc>
        <w:tc>
          <w:tcPr>
            <w:tcW w:type="dxa" w:w="1514"/>
          </w:tcPr>
          <w:p>
            <w:pPr>
              <w:spacing w:before="20" w:after="20"/>
            </w:pPr>
            <w:r/>
            <w:r>
              <w:rPr>
                <w:rFonts w:ascii="Verdana" w:hAnsi="Verdana"/>
                <w:b w:val="0"/>
                <w:sz w:val="16"/>
              </w:rPr>
              <w:t>Hauteur géocentrique totale de marée océanique (solution 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0 10 089</w:t>
            </w:r>
          </w:p>
        </w:tc>
        <w:tc>
          <w:tcPr>
            <w:tcW w:type="dxa" w:w="1514"/>
          </w:tcPr>
          <w:p>
            <w:pPr>
              <w:spacing w:before="20" w:after="20"/>
            </w:pPr>
            <w:r/>
            <w:r>
              <w:rPr>
                <w:rFonts w:ascii="Verdana" w:hAnsi="Verdana"/>
                <w:b w:val="0"/>
                <w:sz w:val="16"/>
              </w:rPr>
              <w:t>Hauteur géocentrique totale de marée océanique (solution 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0 10 090</w:t>
            </w:r>
          </w:p>
        </w:tc>
        <w:tc>
          <w:tcPr>
            <w:tcW w:type="dxa" w:w="1514"/>
          </w:tcPr>
          <w:p>
            <w:pPr>
              <w:spacing w:before="20" w:after="20"/>
            </w:pPr>
            <w:r/>
            <w:r>
              <w:rPr>
                <w:rFonts w:ascii="Verdana" w:hAnsi="Verdana"/>
                <w:b w:val="0"/>
                <w:sz w:val="16"/>
              </w:rPr>
              <w:t>Hauteur de marée pour une période prolongée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0 10 091</w:t>
            </w:r>
          </w:p>
        </w:tc>
        <w:tc>
          <w:tcPr>
            <w:tcW w:type="dxa" w:w="1514"/>
          </w:tcPr>
          <w:p>
            <w:pPr>
              <w:spacing w:before="20" w:after="20"/>
            </w:pPr>
            <w:r/>
            <w:r>
              <w:rPr>
                <w:rFonts w:ascii="Verdana" w:hAnsi="Verdana"/>
                <w:b w:val="0"/>
                <w:sz w:val="16"/>
              </w:rPr>
              <w:t>Hauteur de marée incluant l'effet de charge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0 10 092</w:t>
            </w:r>
          </w:p>
        </w:tc>
        <w:tc>
          <w:tcPr>
            <w:tcW w:type="dxa" w:w="1514"/>
          </w:tcPr>
          <w:p>
            <w:pPr>
              <w:spacing w:before="20" w:after="20"/>
            </w:pPr>
            <w:r/>
            <w:r>
              <w:rPr>
                <w:rFonts w:ascii="Verdana" w:hAnsi="Verdana"/>
                <w:b w:val="0"/>
                <w:sz w:val="16"/>
              </w:rPr>
              <w:t>Hauteur de marée terrestre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0 10 093</w:t>
            </w:r>
          </w:p>
        </w:tc>
        <w:tc>
          <w:tcPr>
            <w:tcW w:type="dxa" w:w="1514"/>
          </w:tcPr>
          <w:p>
            <w:pPr>
              <w:spacing w:before="20" w:after="20"/>
            </w:pPr>
            <w:r/>
            <w:r>
              <w:rPr>
                <w:rFonts w:ascii="Verdana" w:hAnsi="Verdana"/>
                <w:b w:val="0"/>
                <w:sz w:val="16"/>
              </w:rPr>
              <w:t>Hauteur géocentrique de marée polaire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0 10 095</w:t>
            </w:r>
          </w:p>
        </w:tc>
        <w:tc>
          <w:tcPr>
            <w:tcW w:type="dxa" w:w="1514"/>
          </w:tcPr>
          <w:p>
            <w:pPr>
              <w:spacing w:before="20" w:after="20"/>
            </w:pPr>
            <w:r/>
            <w:r>
              <w:rPr>
                <w:rFonts w:ascii="Verdana" w:hAnsi="Verdana"/>
                <w:b w:val="0"/>
                <w:sz w:val="16"/>
              </w:rPr>
              <w:t>Hauteur utilisée pour l'atmosphère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0 10 096</w:t>
            </w:r>
          </w:p>
        </w:tc>
        <w:tc>
          <w:tcPr>
            <w:tcW w:type="dxa" w:w="1514"/>
          </w:tcPr>
          <w:p>
            <w:pPr>
              <w:spacing w:before="20" w:after="20"/>
            </w:pPr>
            <w:r/>
            <w:r>
              <w:rPr>
                <w:rFonts w:ascii="Verdana" w:hAnsi="Verdana"/>
                <w:b w:val="0"/>
                <w:sz w:val="16"/>
              </w:rPr>
              <w:t>Topographie dynamique moyenne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0 10 097</w:t>
            </w:r>
          </w:p>
        </w:tc>
        <w:tc>
          <w:tcPr>
            <w:tcW w:type="dxa" w:w="1514"/>
          </w:tcPr>
          <w:p>
            <w:pPr>
              <w:spacing w:before="20" w:after="20"/>
            </w:pPr>
            <w:r/>
            <w:r>
              <w:rPr>
                <w:rFonts w:ascii="Verdana" w:hAnsi="Verdana"/>
                <w:b w:val="0"/>
                <w:sz w:val="16"/>
              </w:rPr>
              <w:t>Hauteur moyenne de la surface de la mer fournie par l'altimètre seulement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0 10 098</w:t>
            </w:r>
          </w:p>
        </w:tc>
        <w:tc>
          <w:tcPr>
            <w:tcW w:type="dxa" w:w="1514"/>
          </w:tcPr>
          <w:p>
            <w:pPr>
              <w:spacing w:before="20" w:after="20"/>
            </w:pPr>
            <w:r/>
            <w:r>
              <w:rPr>
                <w:rFonts w:ascii="Verdana" w:hAnsi="Verdana"/>
                <w:b w:val="0"/>
                <w:sz w:val="16"/>
              </w:rPr>
              <w:t>Hauteur de la marée de charge pour le calcul de la marée géocentrique - solution 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0 10 099</w:t>
            </w:r>
          </w:p>
        </w:tc>
        <w:tc>
          <w:tcPr>
            <w:tcW w:type="dxa" w:w="1514"/>
          </w:tcPr>
          <w:p>
            <w:pPr>
              <w:spacing w:before="20" w:after="20"/>
            </w:pPr>
            <w:r/>
            <w:r>
              <w:rPr>
                <w:rFonts w:ascii="Verdana" w:hAnsi="Verdana"/>
                <w:b w:val="0"/>
                <w:sz w:val="16"/>
              </w:rPr>
              <w:t>Hauteur de la marée de charge pour le calcul de la marée géocentrique - solution 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0 10 100</w:t>
            </w:r>
          </w:p>
        </w:tc>
        <w:tc>
          <w:tcPr>
            <w:tcW w:type="dxa" w:w="1514"/>
          </w:tcPr>
          <w:p>
            <w:pPr>
              <w:spacing w:before="20" w:after="20"/>
            </w:pPr>
            <w:r/>
            <w:r>
              <w:rPr>
                <w:rFonts w:ascii="Verdana" w:hAnsi="Verdana"/>
                <w:b w:val="0"/>
                <w:sz w:val="16"/>
              </w:rPr>
              <w:t>Hauteur de marée pour une période prolongée hors d'équilibre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0 10 101</w:t>
            </w:r>
          </w:p>
        </w:tc>
        <w:tc>
          <w:tcPr>
            <w:tcW w:type="dxa" w:w="1514"/>
          </w:tcPr>
          <w:p>
            <w:pPr>
              <w:spacing w:before="20" w:after="20"/>
            </w:pPr>
            <w:r/>
            <w:r>
              <w:rPr>
                <w:rFonts w:ascii="Verdana" w:hAnsi="Verdana"/>
                <w:b w:val="0"/>
                <w:sz w:val="16"/>
              </w:rPr>
              <w:t>Carré de l'angle de décalage du satellite par rapport au nadir, calculé à partir de la forme des ondes</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0 10 102</w:t>
            </w:r>
          </w:p>
        </w:tc>
        <w:tc>
          <w:tcPr>
            <w:tcW w:type="dxa" w:w="1514"/>
          </w:tcPr>
          <w:p>
            <w:pPr>
              <w:spacing w:before="20" w:after="20"/>
            </w:pPr>
            <w:r/>
            <w:r>
              <w:rPr>
                <w:rFonts w:ascii="Verdana" w:hAnsi="Verdana"/>
                <w:b w:val="0"/>
                <w:sz w:val="16"/>
              </w:rPr>
              <w:t>Anomalie de hauteur de la surface de la mer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-32768</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0 10 103</w:t>
            </w:r>
          </w:p>
        </w:tc>
        <w:tc>
          <w:tcPr>
            <w:tcW w:type="dxa" w:w="1514"/>
          </w:tcPr>
          <w:p>
            <w:pPr>
              <w:spacing w:before="20" w:after="20"/>
            </w:pPr>
            <w:r/>
            <w:r>
              <w:rPr>
                <w:rFonts w:ascii="Verdana" w:hAnsi="Verdana"/>
                <w:b w:val="0"/>
                <w:sz w:val="16"/>
              </w:rPr>
              <w:t>Précision de la topographie dynamique moyenne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p/>
    <w:p>
      <w:r>
        <w:rPr>
          <w:rFonts w:ascii="Verdana" w:hAnsi="Verdana"/>
          <w:i/>
          <w:sz w:val="14"/>
        </w:rPr>
        <w:t>Note B165: Des données correspondant à des éléments verticaux et à la pression sont utilisées pour définir des valeurs de ces éléments indépendantes de l’élément ou de la variable déterminant la coordonnée verticale.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