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Класс 13: Гигрографические и гидрологические элементы</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1514"/>
        <w:gridCol w:w="1514"/>
        <w:gridCol w:w="1514"/>
        <w:gridCol w:w="1514"/>
        <w:gridCol w:w="1514"/>
        <w:gridCol w:w="1514"/>
        <w:gridCol w:w="1514"/>
        <w:gridCol w:w="1514"/>
        <w:gridCol w:w="1514"/>
        <w:gridCol w:w="1514"/>
      </w:tblGrid>
      <w:tr>
        <w:trPr>
          <w:tblHeader/>
        </w:trPr>
        <w:tc>
          <w:tcPr>
            <w:tcW w:type="dxa" w:w="1514"/>
            <w:shd w:val="clear" w:color="auto" w:fill="D9D9D9"/>
          </w:tcPr>
          <w:p>
            <w:pPr>
              <w:spacing w:before="20" w:after="20"/>
            </w:pPr>
            <w:r/>
            <w:r>
              <w:rPr>
                <w:rFonts w:ascii="Verdana" w:hAnsi="Verdana"/>
                <w:b w:val="0"/>
                <w:sz w:val="16"/>
              </w:rPr>
              <w:t>FXY</w:t>
            </w:r>
          </w:p>
        </w:tc>
        <w:tc>
          <w:tcPr>
            <w:tcW w:type="dxa" w:w="1514"/>
            <w:shd w:val="clear" w:color="auto" w:fill="D9D9D9"/>
          </w:tcPr>
          <w:p>
            <w:pPr>
              <w:spacing w:before="20" w:after="20"/>
            </w:pPr>
            <w:r/>
            <w:r>
              <w:rPr>
                <w:rFonts w:ascii="Verdana" w:hAnsi="Verdana"/>
                <w:b w:val="0"/>
                <w:sz w:val="16"/>
              </w:rPr>
              <w:t>НАЗВАНИЕ ЭЛЕМЕНТА</w:t>
            </w:r>
          </w:p>
        </w:tc>
        <w:tc>
          <w:tcPr>
            <w:tcW w:type="dxa" w:w="1514"/>
            <w:shd w:val="clear" w:color="auto" w:fill="D9D9D9"/>
          </w:tcPr>
          <w:p>
            <w:pPr>
              <w:spacing w:before="20" w:after="20"/>
            </w:pPr>
            <w:r/>
            <w:r>
              <w:rPr>
                <w:rFonts w:ascii="Verdana" w:hAnsi="Verdana"/>
                <w:b w:val="0"/>
                <w:sz w:val="16"/>
              </w:rPr>
              <w:t>ЕД. ИЗМ. BUFR</w:t>
            </w:r>
          </w:p>
        </w:tc>
        <w:tc>
          <w:tcPr>
            <w:tcW w:type="dxa" w:w="1514"/>
            <w:shd w:val="clear" w:color="auto" w:fill="D9D9D9"/>
          </w:tcPr>
          <w:p>
            <w:pPr>
              <w:spacing w:before="20" w:after="20"/>
            </w:pPr>
            <w:r/>
            <w:r>
              <w:rPr>
                <w:rFonts w:ascii="Verdana" w:hAnsi="Verdana"/>
                <w:b w:val="0"/>
                <w:sz w:val="16"/>
              </w:rPr>
              <w:t>МАСШТАБ</w:t>
            </w:r>
          </w:p>
        </w:tc>
        <w:tc>
          <w:tcPr>
            <w:tcW w:type="dxa" w:w="1514"/>
            <w:shd w:val="clear" w:color="auto" w:fill="D9D9D9"/>
          </w:tcPr>
          <w:p>
            <w:pPr>
              <w:spacing w:before="20" w:after="20"/>
            </w:pPr>
            <w:r/>
            <w:r>
              <w:rPr>
                <w:rFonts w:ascii="Verdana" w:hAnsi="Verdana"/>
                <w:b w:val="0"/>
                <w:sz w:val="16"/>
              </w:rPr>
              <w:t>НАЧ. ОТСЧ.</w:t>
            </w:r>
          </w:p>
        </w:tc>
        <w:tc>
          <w:tcPr>
            <w:tcW w:type="dxa" w:w="1514"/>
            <w:shd w:val="clear" w:color="auto" w:fill="D9D9D9"/>
          </w:tcPr>
          <w:p>
            <w:pPr>
              <w:spacing w:before="20" w:after="20"/>
            </w:pPr>
            <w:r/>
            <w:r>
              <w:rPr>
                <w:rFonts w:ascii="Verdana" w:hAnsi="Verdana"/>
                <w:b w:val="0"/>
                <w:sz w:val="16"/>
              </w:rPr>
              <w:t>БИТЫ</w:t>
            </w:r>
          </w:p>
        </w:tc>
        <w:tc>
          <w:tcPr>
            <w:tcW w:type="dxa" w:w="1514"/>
            <w:shd w:val="clear" w:color="auto" w:fill="D9D9D9"/>
          </w:tcPr>
          <w:p>
            <w:pPr>
              <w:spacing w:before="20" w:after="20"/>
            </w:pPr>
            <w:r/>
            <w:r>
              <w:rPr>
                <w:rFonts w:ascii="Verdana" w:hAnsi="Verdana"/>
                <w:b w:val="0"/>
                <w:sz w:val="16"/>
              </w:rPr>
              <w:t>ЕД. ИЗМ. CREX</w:t>
            </w:r>
          </w:p>
        </w:tc>
        <w:tc>
          <w:tcPr>
            <w:tcW w:type="dxa" w:w="1514"/>
            <w:shd w:val="clear" w:color="auto" w:fill="D9D9D9"/>
          </w:tcPr>
          <w:p>
            <w:pPr>
              <w:spacing w:before="20" w:after="20"/>
            </w:pPr>
            <w:r/>
            <w:r>
              <w:rPr>
                <w:rFonts w:ascii="Verdana" w:hAnsi="Verdana"/>
                <w:b w:val="0"/>
                <w:sz w:val="16"/>
              </w:rPr>
              <w:t>МАСШТАБ</w:t>
            </w:r>
          </w:p>
        </w:tc>
        <w:tc>
          <w:tcPr>
            <w:tcW w:type="dxa" w:w="1514"/>
            <w:shd w:val="clear" w:color="auto" w:fill="D9D9D9"/>
          </w:tcPr>
          <w:p>
            <w:pPr>
              <w:spacing w:before="20" w:after="20"/>
            </w:pPr>
            <w:r/>
            <w:r>
              <w:rPr>
                <w:rFonts w:ascii="Verdana" w:hAnsi="Verdana"/>
                <w:b w:val="0"/>
                <w:sz w:val="16"/>
              </w:rPr>
              <w:t>СИМВ.</w:t>
            </w:r>
          </w:p>
        </w:tc>
        <w:tc>
          <w:tcPr>
            <w:tcW w:type="dxa" w:w="1514"/>
            <w:shd w:val="clear" w:color="auto" w:fill="D9D9D9"/>
          </w:tcPr>
          <w:p>
            <w:pPr>
              <w:spacing w:before="20" w:after="20"/>
            </w:pPr>
            <w:r/>
            <w:r>
              <w:rPr>
                <w:rFonts w:ascii="Verdana" w:hAnsi="Verdana"/>
                <w:b w:val="0"/>
                <w:sz w:val="16"/>
              </w:rPr>
              <w:t>ПРИМЕЧАНИЕ</w:t>
            </w:r>
          </w:p>
        </w:tc>
      </w:tr>
      <w:tr>
        <w:trPr>
          <w:cantSplit/>
        </w:trPr>
        <w:tc>
          <w:tcPr>
            <w:tcW w:type="dxa" w:w="1514"/>
          </w:tcPr>
          <w:p>
            <w:pPr>
              <w:spacing w:before="20" w:after="20"/>
            </w:pPr>
            <w:r/>
            <w:r>
              <w:rPr>
                <w:rFonts w:ascii="Verdana" w:hAnsi="Verdana"/>
                <w:b w:val="0"/>
                <w:sz w:val="16"/>
              </w:rPr>
              <w:t>0 13 001</w:t>
            </w:r>
          </w:p>
        </w:tc>
        <w:tc>
          <w:tcPr>
            <w:tcW w:type="dxa" w:w="1514"/>
          </w:tcPr>
          <w:p>
            <w:pPr>
              <w:spacing w:before="20" w:after="20"/>
            </w:pPr>
            <w:r/>
            <w:r>
              <w:rPr>
                <w:rFonts w:ascii="Verdana" w:hAnsi="Verdana"/>
                <w:b w:val="0"/>
                <w:sz w:val="16"/>
              </w:rPr>
              <w:t>Удельная влажность</w:t>
            </w:r>
          </w:p>
        </w:tc>
        <w:tc>
          <w:tcPr>
            <w:tcW w:type="dxa" w:w="1514"/>
          </w:tcPr>
          <w:p>
            <w:pPr>
              <w:spacing w:before="20" w:after="20"/>
            </w:pPr>
            <w:r/>
            <w:r>
              <w:rPr>
                <w:rFonts w:ascii="Verdana" w:hAnsi="Verdana"/>
                <w:sz w:val="16"/>
              </w:rPr>
              <w:t>kg/kg</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kg/kg</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0 13 002</w:t>
            </w:r>
          </w:p>
        </w:tc>
        <w:tc>
          <w:tcPr>
            <w:tcW w:type="dxa" w:w="1514"/>
          </w:tcPr>
          <w:p>
            <w:pPr>
              <w:spacing w:before="20" w:after="20"/>
            </w:pPr>
            <w:r/>
            <w:r>
              <w:rPr>
                <w:rFonts w:ascii="Verdana" w:hAnsi="Verdana"/>
                <w:b w:val="0"/>
                <w:sz w:val="16"/>
              </w:rPr>
              <w:t>Отношение смеси</w:t>
            </w:r>
          </w:p>
        </w:tc>
        <w:tc>
          <w:tcPr>
            <w:tcW w:type="dxa" w:w="1514"/>
          </w:tcPr>
          <w:p>
            <w:pPr>
              <w:spacing w:before="20" w:after="20"/>
            </w:pPr>
            <w:r/>
            <w:r>
              <w:rPr>
                <w:rFonts w:ascii="Verdana" w:hAnsi="Verdana"/>
                <w:sz w:val="16"/>
              </w:rPr>
              <w:t>kg/kg</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kg/kg</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0 13 003</w:t>
            </w:r>
          </w:p>
        </w:tc>
        <w:tc>
          <w:tcPr>
            <w:tcW w:type="dxa" w:w="1514"/>
          </w:tcPr>
          <w:p>
            <w:pPr>
              <w:spacing w:before="20" w:after="20"/>
            </w:pPr>
            <w:r/>
            <w:r>
              <w:rPr>
                <w:rFonts w:ascii="Verdana" w:hAnsi="Verdana"/>
                <w:b w:val="0"/>
                <w:sz w:val="16"/>
              </w:rPr>
              <w:t>Относительная влажность</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0 13 004</w:t>
            </w:r>
          </w:p>
        </w:tc>
        <w:tc>
          <w:tcPr>
            <w:tcW w:type="dxa" w:w="1514"/>
          </w:tcPr>
          <w:p>
            <w:pPr>
              <w:spacing w:before="20" w:after="20"/>
            </w:pPr>
            <w:r/>
            <w:r>
              <w:rPr>
                <w:rFonts w:ascii="Verdana" w:hAnsi="Verdana"/>
                <w:b w:val="0"/>
                <w:sz w:val="16"/>
              </w:rPr>
              <w:t>Давление пара</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0 13 005</w:t>
            </w:r>
          </w:p>
        </w:tc>
        <w:tc>
          <w:tcPr>
            <w:tcW w:type="dxa" w:w="1514"/>
          </w:tcPr>
          <w:p>
            <w:pPr>
              <w:spacing w:before="20" w:after="20"/>
            </w:pPr>
            <w:r/>
            <w:r>
              <w:rPr>
                <w:rFonts w:ascii="Verdana" w:hAnsi="Verdana"/>
                <w:b w:val="0"/>
                <w:sz w:val="16"/>
              </w:rPr>
              <w:t>Плотность пара</w:t>
            </w:r>
          </w:p>
        </w:tc>
        <w:tc>
          <w:tcPr>
            <w:tcW w:type="dxa" w:w="1514"/>
          </w:tcPr>
          <w:p>
            <w:pPr>
              <w:spacing w:before="20" w:after="20"/>
            </w:pPr>
            <w:r/>
            <w:r>
              <w:rPr>
                <w:rFonts w:ascii="Verdana" w:hAnsi="Verdana"/>
                <w:sz w:val="16"/>
              </w:rPr>
              <w:t>kg m</w:t>
            </w:r>
            <w:r>
              <w:rPr>
                <w:rFonts w:ascii="Verdana" w:hAnsi="Verdana"/>
                <w:sz w:val="16"/>
                <w:vertAlign w:val="superscript"/>
              </w:rPr>
              <w:t>-3</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kg m</w:t>
            </w:r>
            <w:r>
              <w:rPr>
                <w:rFonts w:ascii="Verdana" w:hAnsi="Verdana"/>
                <w:sz w:val="16"/>
                <w:vertAlign w:val="superscript"/>
              </w:rPr>
              <w:t>-3</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0 13 006</w:t>
            </w:r>
          </w:p>
        </w:tc>
        <w:tc>
          <w:tcPr>
            <w:tcW w:type="dxa" w:w="1514"/>
          </w:tcPr>
          <w:p>
            <w:pPr>
              <w:spacing w:before="20" w:after="20"/>
            </w:pPr>
            <w:r/>
            <w:r>
              <w:rPr>
                <w:rFonts w:ascii="Verdana" w:hAnsi="Verdana"/>
                <w:b w:val="0"/>
                <w:sz w:val="16"/>
              </w:rPr>
              <w:t>Высота слоя перемешивания</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0 13 007</w:t>
            </w:r>
          </w:p>
        </w:tc>
        <w:tc>
          <w:tcPr>
            <w:tcW w:type="dxa" w:w="1514"/>
          </w:tcPr>
          <w:p>
            <w:pPr>
              <w:spacing w:before="20" w:after="20"/>
            </w:pPr>
            <w:r/>
            <w:r>
              <w:rPr>
                <w:rFonts w:ascii="Verdana" w:hAnsi="Verdana"/>
                <w:b w:val="0"/>
                <w:sz w:val="16"/>
              </w:rPr>
              <w:t>Минимальная относительная влажность</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0 13 008</w:t>
            </w:r>
          </w:p>
        </w:tc>
        <w:tc>
          <w:tcPr>
            <w:tcW w:type="dxa" w:w="1514"/>
          </w:tcPr>
          <w:p>
            <w:pPr>
              <w:spacing w:before="20" w:after="20"/>
            </w:pPr>
            <w:r/>
            <w:r>
              <w:rPr>
                <w:rFonts w:ascii="Verdana" w:hAnsi="Verdana"/>
                <w:b w:val="0"/>
                <w:sz w:val="16"/>
              </w:rPr>
              <w:t>Максимальная относительная влажность</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0 13 009</w:t>
            </w:r>
          </w:p>
        </w:tc>
        <w:tc>
          <w:tcPr>
            <w:tcW w:type="dxa" w:w="1514"/>
          </w:tcPr>
          <w:p>
            <w:pPr>
              <w:spacing w:before="20" w:after="20"/>
            </w:pPr>
            <w:r/>
            <w:r>
              <w:rPr>
                <w:rFonts w:ascii="Verdana" w:hAnsi="Verdana"/>
                <w:b w:val="0"/>
                <w:sz w:val="16"/>
              </w:rPr>
              <w:t>Относительная влажность</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-1000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B39: Относительно дескриптора 0 13 009 поставщики этих данных желают сохранить «сырые» (т. е. необработанные) величины относительной влажности, сообщаемые этим датчиком, для того чтобы суметь обнаружить, наряду с другими аспектами, когда датчик начнет неправильно срабатывать. Это происходит, когда появляется отрицательное значение. Для всемирного обмена с другими странами возможно направление только лишь обработанных данных.</w:t>
            </w:r>
          </w:p>
        </w:tc>
      </w:tr>
      <w:tr>
        <w:trPr>
          <w:cantSplit/>
        </w:trPr>
        <w:tc>
          <w:tcPr>
            <w:tcW w:type="dxa" w:w="1514"/>
          </w:tcPr>
          <w:p>
            <w:pPr>
              <w:spacing w:before="20" w:after="20"/>
            </w:pPr>
            <w:r/>
            <w:r>
              <w:rPr>
                <w:rFonts w:ascii="Verdana" w:hAnsi="Verdana"/>
                <w:b w:val="0"/>
                <w:sz w:val="16"/>
              </w:rPr>
              <w:t>0 13 011</w:t>
            </w:r>
          </w:p>
        </w:tc>
        <w:tc>
          <w:tcPr>
            <w:tcW w:type="dxa" w:w="1514"/>
          </w:tcPr>
          <w:p>
            <w:pPr>
              <w:spacing w:before="20" w:after="20"/>
            </w:pPr>
            <w:r/>
            <w:r>
              <w:rPr>
                <w:rFonts w:ascii="Verdana" w:hAnsi="Verdana"/>
                <w:b w:val="0"/>
                <w:sz w:val="16"/>
              </w:rPr>
              <w:t>Сумма осадков/суммарный водный эквивалент</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0 13 012</w:t>
            </w:r>
          </w:p>
        </w:tc>
        <w:tc>
          <w:tcPr>
            <w:tcW w:type="dxa" w:w="1514"/>
          </w:tcPr>
          <w:p>
            <w:pPr>
              <w:spacing w:before="20" w:after="20"/>
            </w:pPr>
            <w:r/>
            <w:r>
              <w:rPr>
                <w:rFonts w:ascii="Verdana" w:hAnsi="Verdana"/>
                <w:b w:val="0"/>
                <w:sz w:val="16"/>
              </w:rPr>
              <w:t>Высота свежевыпавшего снега</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B26: Значение высоты снежного покрова –0,01 м до масштабирования (–1 после него или в коде CREX) должно указывать незначительную высоту снега (менее 0,005 м). Значение высоты снежного покрова –0,02 м (–2 после масштабирования или в коде CREX) должно указывать «снежный покров несплошной».</w:t>
            </w:r>
          </w:p>
        </w:tc>
      </w:tr>
      <w:tr>
        <w:trPr>
          <w:cantSplit/>
        </w:trPr>
        <w:tc>
          <w:tcPr>
            <w:tcW w:type="dxa" w:w="1514"/>
          </w:tcPr>
          <w:p>
            <w:pPr>
              <w:spacing w:before="20" w:after="20"/>
            </w:pPr>
            <w:r/>
            <w:r>
              <w:rPr>
                <w:rFonts w:ascii="Verdana" w:hAnsi="Verdana"/>
                <w:b w:val="0"/>
                <w:sz w:val="16"/>
              </w:rPr>
              <w:t>0 13 013</w:t>
            </w:r>
          </w:p>
        </w:tc>
        <w:tc>
          <w:tcPr>
            <w:tcW w:type="dxa" w:w="1514"/>
          </w:tcPr>
          <w:p>
            <w:pPr>
              <w:spacing w:before="20" w:after="20"/>
            </w:pPr>
            <w:r/>
            <w:r>
              <w:rPr>
                <w:rFonts w:ascii="Verdana" w:hAnsi="Verdana"/>
                <w:b w:val="0"/>
                <w:sz w:val="16"/>
              </w:rPr>
              <w:t>Суммарная высота снежного покрова</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B26: Значение высоты снежного покрова –0,01 м до масштабирования (–1 после него или в коде CREX) должно указывать незначительную высоту снега (менее 0,005 м). Значение высоты снежного покрова –0,02 м (–2 после масштабирования или в коде CREX) должно указывать «снежный покров несплошной».</w:t>
            </w:r>
          </w:p>
        </w:tc>
      </w:tr>
      <w:tr>
        <w:trPr>
          <w:cantSplit/>
        </w:trPr>
        <w:tc>
          <w:tcPr>
            <w:tcW w:type="dxa" w:w="1514"/>
          </w:tcPr>
          <w:p>
            <w:pPr>
              <w:spacing w:before="20" w:after="20"/>
            </w:pPr>
            <w:r/>
            <w:r>
              <w:rPr>
                <w:rFonts w:ascii="Verdana" w:hAnsi="Verdana"/>
                <w:b w:val="0"/>
                <w:sz w:val="16"/>
              </w:rPr>
              <w:t>0 13 014</w:t>
            </w:r>
          </w:p>
        </w:tc>
        <w:tc>
          <w:tcPr>
            <w:tcW w:type="dxa" w:w="1514"/>
          </w:tcPr>
          <w:p>
            <w:pPr>
              <w:spacing w:before="20" w:after="20"/>
            </w:pPr>
            <w:r/>
            <w:r>
              <w:rPr>
                <w:rFonts w:ascii="Verdana" w:hAnsi="Verdana"/>
                <w:b w:val="0"/>
                <w:sz w:val="16"/>
              </w:rPr>
              <w:t>Дождь/эквивалент воды в снеге (средняя интенсивность)</w:t>
            </w:r>
          </w:p>
        </w:tc>
        <w:tc>
          <w:tcPr>
            <w:tcW w:type="dxa" w:w="1514"/>
          </w:tcPr>
          <w:p>
            <w:pPr>
              <w:spacing w:before="20" w:after="20"/>
            </w:pPr>
            <w:r/>
            <w:r>
              <w:rPr>
                <w:rFonts w:ascii="Verdana" w:hAnsi="Verdana"/>
                <w:sz w:val="16"/>
              </w:rPr>
              <w:t>kg m</w:t>
            </w:r>
            <w:r>
              <w:rPr>
                <w:rFonts w:ascii="Verdana" w:hAnsi="Verdana"/>
                <w:sz w:val="16"/>
                <w:vertAlign w:val="superscript"/>
              </w:rPr>
              <w:t>-2</w:t>
            </w:r>
            <w:r>
              <w:rPr>
                <w:rFonts w:ascii="Verdana" w:hAnsi="Verdana"/>
                <w:sz w:val="16"/>
              </w:rPr>
              <w:t xml:space="preserve"> s</w:t>
            </w:r>
            <w:r>
              <w:rPr>
                <w:rFonts w:ascii="Verdana" w:hAnsi="Verdana"/>
                <w:sz w:val="16"/>
                <w:vertAlign w:val="superscript"/>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kg m</w:t>
            </w:r>
            <w:r>
              <w:rPr>
                <w:rFonts w:ascii="Verdana" w:hAnsi="Verdana"/>
                <w:sz w:val="16"/>
                <w:vertAlign w:val="superscript"/>
              </w:rPr>
              <w:t>-2</w:t>
            </w:r>
            <w:r>
              <w:rPr>
                <w:rFonts w:ascii="Verdana" w:hAnsi="Verdana"/>
                <w:sz w:val="16"/>
              </w:rPr>
              <w:t xml:space="preserve"> s</w:t>
            </w:r>
            <w:r>
              <w:rPr>
                <w:rFonts w:ascii="Verdana" w:hAnsi="Verdana"/>
                <w:sz w:val="16"/>
                <w:vertAlign w:val="superscript"/>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0 13 015</w:t>
            </w:r>
          </w:p>
        </w:tc>
        <w:tc>
          <w:tcPr>
            <w:tcW w:type="dxa" w:w="1514"/>
          </w:tcPr>
          <w:p>
            <w:pPr>
              <w:spacing w:before="20" w:after="20"/>
            </w:pPr>
            <w:r/>
            <w:r>
              <w:rPr>
                <w:rFonts w:ascii="Verdana" w:hAnsi="Verdana"/>
                <w:b w:val="0"/>
                <w:sz w:val="16"/>
              </w:rPr>
              <w:t>Снегопад (средняя интенсивность)</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0 13 016</w:t>
            </w:r>
          </w:p>
        </w:tc>
        <w:tc>
          <w:tcPr>
            <w:tcW w:type="dxa" w:w="1514"/>
          </w:tcPr>
          <w:p>
            <w:pPr>
              <w:spacing w:before="20" w:after="20"/>
            </w:pPr>
            <w:r/>
            <w:r>
              <w:rPr>
                <w:rFonts w:ascii="Verdana" w:hAnsi="Verdana"/>
                <w:b w:val="0"/>
                <w:sz w:val="16"/>
              </w:rPr>
              <w:t>Осаждаемая вода</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0 13 019</w:t>
            </w:r>
          </w:p>
        </w:tc>
        <w:tc>
          <w:tcPr>
            <w:tcW w:type="dxa" w:w="1514"/>
          </w:tcPr>
          <w:p>
            <w:pPr>
              <w:spacing w:before="20" w:after="20"/>
            </w:pPr>
            <w:r/>
            <w:r>
              <w:rPr>
                <w:rFonts w:ascii="Verdana" w:hAnsi="Verdana"/>
                <w:b w:val="0"/>
                <w:sz w:val="16"/>
              </w:rPr>
              <w:t>Сумма осадков за последний час</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0 13 020</w:t>
            </w:r>
          </w:p>
        </w:tc>
        <w:tc>
          <w:tcPr>
            <w:tcW w:type="dxa" w:w="1514"/>
          </w:tcPr>
          <w:p>
            <w:pPr>
              <w:spacing w:before="20" w:after="20"/>
            </w:pPr>
            <w:r/>
            <w:r>
              <w:rPr>
                <w:rFonts w:ascii="Verdana" w:hAnsi="Verdana"/>
                <w:b w:val="0"/>
                <w:sz w:val="16"/>
              </w:rPr>
              <w:t>Сумма осадков за последние 3 часа</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0 13 021</w:t>
            </w:r>
          </w:p>
        </w:tc>
        <w:tc>
          <w:tcPr>
            <w:tcW w:type="dxa" w:w="1514"/>
          </w:tcPr>
          <w:p>
            <w:pPr>
              <w:spacing w:before="20" w:after="20"/>
            </w:pPr>
            <w:r/>
            <w:r>
              <w:rPr>
                <w:rFonts w:ascii="Verdana" w:hAnsi="Verdana"/>
                <w:b w:val="0"/>
                <w:sz w:val="16"/>
              </w:rPr>
              <w:t>Сумма осадков за последние 6 часов</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0 13 022</w:t>
            </w:r>
          </w:p>
        </w:tc>
        <w:tc>
          <w:tcPr>
            <w:tcW w:type="dxa" w:w="1514"/>
          </w:tcPr>
          <w:p>
            <w:pPr>
              <w:spacing w:before="20" w:after="20"/>
            </w:pPr>
            <w:r/>
            <w:r>
              <w:rPr>
                <w:rFonts w:ascii="Verdana" w:hAnsi="Verdana"/>
                <w:b w:val="0"/>
                <w:sz w:val="16"/>
              </w:rPr>
              <w:t>Сумма осадков за последние 12 часов</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0 13 023</w:t>
            </w:r>
          </w:p>
        </w:tc>
        <w:tc>
          <w:tcPr>
            <w:tcW w:type="dxa" w:w="1514"/>
          </w:tcPr>
          <w:p>
            <w:pPr>
              <w:spacing w:before="20" w:after="20"/>
            </w:pPr>
            <w:r/>
            <w:r>
              <w:rPr>
                <w:rFonts w:ascii="Verdana" w:hAnsi="Verdana"/>
                <w:b w:val="0"/>
                <w:sz w:val="16"/>
              </w:rPr>
              <w:t>Сумма осадков за последние 24 часа</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0 13 031</w:t>
            </w:r>
          </w:p>
        </w:tc>
        <w:tc>
          <w:tcPr>
            <w:tcW w:type="dxa" w:w="1514"/>
          </w:tcPr>
          <w:p>
            <w:pPr>
              <w:spacing w:before="20" w:after="20"/>
            </w:pPr>
            <w:r/>
            <w:r>
              <w:rPr>
                <w:rFonts w:ascii="Verdana" w:hAnsi="Verdana"/>
                <w:b w:val="0"/>
                <w:sz w:val="16"/>
              </w:rPr>
              <w:t>Суммарное испарение</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0 13 032</w:t>
            </w:r>
          </w:p>
        </w:tc>
        <w:tc>
          <w:tcPr>
            <w:tcW w:type="dxa" w:w="1514"/>
          </w:tcPr>
          <w:p>
            <w:pPr>
              <w:spacing w:before="20" w:after="20"/>
            </w:pPr>
            <w:r/>
            <w:r>
              <w:rPr>
                <w:rFonts w:ascii="Verdana" w:hAnsi="Verdana"/>
                <w:b w:val="0"/>
                <w:sz w:val="16"/>
              </w:rPr>
              <w:t>Испарение/эвапотранспирация</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B53: Для кодирования испарения/суммарного испарения вместо дескриптора 0 13 032 следует использовать дескриптор 0 13 033.</w:t>
            </w:r>
          </w:p>
        </w:tc>
      </w:tr>
      <w:tr>
        <w:trPr>
          <w:cantSplit/>
        </w:trPr>
        <w:tc>
          <w:tcPr>
            <w:tcW w:type="dxa" w:w="1514"/>
          </w:tcPr>
          <w:p>
            <w:pPr>
              <w:spacing w:before="20" w:after="20"/>
            </w:pPr>
            <w:r/>
            <w:r>
              <w:rPr>
                <w:rFonts w:ascii="Verdana" w:hAnsi="Verdana"/>
                <w:b w:val="0"/>
                <w:sz w:val="16"/>
              </w:rPr>
              <w:t>0 13 033</w:t>
            </w:r>
          </w:p>
        </w:tc>
        <w:tc>
          <w:tcPr>
            <w:tcW w:type="dxa" w:w="1514"/>
          </w:tcPr>
          <w:p>
            <w:pPr>
              <w:spacing w:before="20" w:after="20"/>
            </w:pPr>
            <w:r/>
            <w:r>
              <w:rPr>
                <w:rFonts w:ascii="Verdana" w:hAnsi="Verdana"/>
                <w:b w:val="0"/>
                <w:sz w:val="16"/>
              </w:rPr>
              <w:t>Испарение/эвапотранспирация</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0 13 038</w:t>
            </w:r>
          </w:p>
        </w:tc>
        <w:tc>
          <w:tcPr>
            <w:tcW w:type="dxa" w:w="1514"/>
          </w:tcPr>
          <w:p>
            <w:pPr>
              <w:spacing w:before="20" w:after="20"/>
            </w:pPr>
            <w:r/>
            <w:r>
              <w:rPr>
                <w:rFonts w:ascii="Verdana" w:hAnsi="Verdana"/>
                <w:b w:val="0"/>
                <w:sz w:val="16"/>
              </w:rPr>
              <w:t>Сверхадиабатический указатель</w:t>
            </w:r>
          </w:p>
        </w:tc>
        <w:tc>
          <w:tcPr>
            <w:tcW w:type="dxa" w:w="1514"/>
          </w:tcPr>
          <w:p>
            <w:pPr>
              <w:spacing w:before="20" w:after="20"/>
            </w:pPr>
            <w:r/>
            <w:r>
              <w:rPr>
                <w:rFonts w:ascii="Verdana" w:hAnsi="Verdana"/>
                <w:sz w:val="16"/>
              </w:rPr>
              <w:t>Кодовая таблица</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Кодовая таблица</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0 13 039</w:t>
            </w:r>
          </w:p>
        </w:tc>
        <w:tc>
          <w:tcPr>
            <w:tcW w:type="dxa" w:w="1514"/>
          </w:tcPr>
          <w:p>
            <w:pPr>
              <w:spacing w:before="20" w:after="20"/>
            </w:pPr>
            <w:r/>
            <w:r>
              <w:rPr>
                <w:rFonts w:ascii="Verdana" w:hAnsi="Verdana"/>
                <w:b w:val="0"/>
                <w:sz w:val="16"/>
              </w:rPr>
              <w:t>Тип поверхности (лед/снег)</w:t>
            </w:r>
          </w:p>
        </w:tc>
        <w:tc>
          <w:tcPr>
            <w:tcW w:type="dxa" w:w="1514"/>
          </w:tcPr>
          <w:p>
            <w:pPr>
              <w:spacing w:before="20" w:after="20"/>
            </w:pPr>
            <w:r/>
            <w:r>
              <w:rPr>
                <w:rFonts w:ascii="Verdana" w:hAnsi="Verdana"/>
                <w:sz w:val="16"/>
              </w:rPr>
              <w:t>Кодовая таблица</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Кодовая таблица</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0 13 040</w:t>
            </w:r>
          </w:p>
        </w:tc>
        <w:tc>
          <w:tcPr>
            <w:tcW w:type="dxa" w:w="1514"/>
          </w:tcPr>
          <w:p>
            <w:pPr>
              <w:spacing w:before="20" w:after="20"/>
            </w:pPr>
            <w:r/>
            <w:r>
              <w:rPr>
                <w:rFonts w:ascii="Verdana" w:hAnsi="Verdana"/>
                <w:b w:val="0"/>
                <w:sz w:val="16"/>
              </w:rPr>
              <w:t>Флаг поверхности</w:t>
            </w:r>
          </w:p>
        </w:tc>
        <w:tc>
          <w:tcPr>
            <w:tcW w:type="dxa" w:w="1514"/>
          </w:tcPr>
          <w:p>
            <w:pPr>
              <w:spacing w:before="20" w:after="20"/>
            </w:pPr>
            <w:r/>
            <w:r>
              <w:rPr>
                <w:rFonts w:ascii="Verdana" w:hAnsi="Verdana"/>
                <w:sz w:val="16"/>
              </w:rPr>
              <w:t>Кодовая таблица</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Кодовая таблица</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0 13 041</w:t>
            </w:r>
          </w:p>
        </w:tc>
        <w:tc>
          <w:tcPr>
            <w:tcW w:type="dxa" w:w="1514"/>
          </w:tcPr>
          <w:p>
            <w:pPr>
              <w:spacing w:before="20" w:after="20"/>
            </w:pPr>
            <w:r/>
            <w:r>
              <w:rPr>
                <w:rFonts w:ascii="Verdana" w:hAnsi="Verdana"/>
                <w:b w:val="0"/>
                <w:sz w:val="16"/>
              </w:rPr>
              <w:t>Категория стабильности Паскуилла-Гиффорда</w:t>
            </w:r>
          </w:p>
        </w:tc>
        <w:tc>
          <w:tcPr>
            <w:tcW w:type="dxa" w:w="1514"/>
          </w:tcPr>
          <w:p>
            <w:pPr>
              <w:spacing w:before="20" w:after="20"/>
            </w:pPr>
            <w:r/>
            <w:r>
              <w:rPr>
                <w:rFonts w:ascii="Verdana" w:hAnsi="Verdana"/>
                <w:sz w:val="16"/>
              </w:rPr>
              <w:t>Кодовая таблица</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Кодовая таблица</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0 13 042</w:t>
            </w:r>
          </w:p>
        </w:tc>
        <w:tc>
          <w:tcPr>
            <w:tcW w:type="dxa" w:w="1514"/>
          </w:tcPr>
          <w:p>
            <w:pPr>
              <w:spacing w:before="20" w:after="20"/>
            </w:pPr>
            <w:r/>
            <w:r>
              <w:rPr>
                <w:rFonts w:ascii="Verdana" w:hAnsi="Verdana"/>
                <w:b w:val="0"/>
                <w:sz w:val="16"/>
              </w:rPr>
              <w:t>Подъемный индекс частицы (до 500 гПа)</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Note B119: Хотя два подъемных индекса (0 13 042 и 0 13 043) определяются как разности температур, однако они могут иметь отрицательные значения, даже если единицами измерения является кельвин; поэтому начало отсчета ненулевое.</w:t>
            </w:r>
          </w:p>
        </w:tc>
      </w:tr>
      <w:tr>
        <w:trPr>
          <w:cantSplit/>
        </w:trPr>
        <w:tc>
          <w:tcPr>
            <w:tcW w:type="dxa" w:w="1514"/>
          </w:tcPr>
          <w:p>
            <w:pPr>
              <w:spacing w:before="20" w:after="20"/>
            </w:pPr>
            <w:r/>
            <w:r>
              <w:rPr>
                <w:rFonts w:ascii="Verdana" w:hAnsi="Verdana"/>
                <w:b w:val="0"/>
                <w:sz w:val="16"/>
              </w:rPr>
              <w:t>0 13 043</w:t>
            </w:r>
          </w:p>
        </w:tc>
        <w:tc>
          <w:tcPr>
            <w:tcW w:type="dxa" w:w="1514"/>
          </w:tcPr>
          <w:p>
            <w:pPr>
              <w:spacing w:before="20" w:after="20"/>
            </w:pPr>
            <w:r/>
            <w:r>
              <w:rPr>
                <w:rFonts w:ascii="Verdana" w:hAnsi="Verdana"/>
                <w:b w:val="0"/>
                <w:sz w:val="16"/>
              </w:rPr>
              <w:t>Лучший подъемный индекс (до 500 гПа)</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Note B119: Хотя два подъемных индекса (0 13 042 и 0 13 043) определяются как разности температур, однако они могут иметь отрицательные значения, даже если единицами измерения является кельвин; поэтому начало отсчета ненулевое.</w:t>
            </w:r>
          </w:p>
        </w:tc>
      </w:tr>
      <w:tr>
        <w:trPr>
          <w:cantSplit/>
        </w:trPr>
        <w:tc>
          <w:tcPr>
            <w:tcW w:type="dxa" w:w="1514"/>
          </w:tcPr>
          <w:p>
            <w:pPr>
              <w:spacing w:before="20" w:after="20"/>
            </w:pPr>
            <w:r/>
            <w:r>
              <w:rPr>
                <w:rFonts w:ascii="Verdana" w:hAnsi="Verdana"/>
                <w:b w:val="0"/>
                <w:sz w:val="16"/>
              </w:rPr>
              <w:t>0 13 044</w:t>
            </w:r>
          </w:p>
        </w:tc>
        <w:tc>
          <w:tcPr>
            <w:tcW w:type="dxa" w:w="1514"/>
          </w:tcPr>
          <w:p>
            <w:pPr>
              <w:spacing w:before="20" w:after="20"/>
            </w:pPr>
            <w:r/>
            <w:r>
              <w:rPr>
                <w:rFonts w:ascii="Verdana" w:hAnsi="Verdana"/>
                <w:b w:val="0"/>
                <w:sz w:val="16"/>
              </w:rPr>
              <w:t>Индекс K</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0 13 045</w:t>
            </w:r>
          </w:p>
        </w:tc>
        <w:tc>
          <w:tcPr>
            <w:tcW w:type="dxa" w:w="1514"/>
          </w:tcPr>
          <w:p>
            <w:pPr>
              <w:spacing w:before="20" w:after="20"/>
            </w:pPr>
            <w:r/>
            <w:r>
              <w:rPr>
                <w:rFonts w:ascii="Verdana" w:hAnsi="Verdana"/>
                <w:b w:val="0"/>
                <w:sz w:val="16"/>
              </w:rPr>
              <w:t>Индекс KO</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0 13 046</w:t>
            </w:r>
          </w:p>
        </w:tc>
        <w:tc>
          <w:tcPr>
            <w:tcW w:type="dxa" w:w="1514"/>
          </w:tcPr>
          <w:p>
            <w:pPr>
              <w:spacing w:before="20" w:after="20"/>
            </w:pPr>
            <w:r/>
            <w:r>
              <w:rPr>
                <w:rFonts w:ascii="Verdana" w:hAnsi="Verdana"/>
                <w:b w:val="0"/>
                <w:sz w:val="16"/>
              </w:rPr>
              <w:t>Максимальная подъемная сила</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0 13 047</w:t>
            </w:r>
          </w:p>
        </w:tc>
        <w:tc>
          <w:tcPr>
            <w:tcW w:type="dxa" w:w="1514"/>
          </w:tcPr>
          <w:p>
            <w:pPr>
              <w:spacing w:before="20" w:after="20"/>
            </w:pPr>
            <w:r/>
            <w:r>
              <w:rPr>
                <w:rFonts w:ascii="Verdana" w:hAnsi="Verdana"/>
                <w:b w:val="0"/>
                <w:sz w:val="16"/>
              </w:rPr>
              <w:t>Измененный индекс стабильности Шоуолтера</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Note B129: «Измененный индекс стабильности Шоуолтера» определяется как разность температур между температурой окружающего воздуха на уровне 500 гПа и той температурой, которую частица воздуха, изначально на избранном базовом уровне, будет иметь, если бы она была перенесена со своего уровня конденсации до поверхности 500 гПа в результате влажного адиабатического процесса. Позитивные значения означают стабильные условия, в то время как негативные значения означают нестабильные условия. Базовым уровнем является 850 гПа, 800 гПа или 750 гПа, если высота станции составляет менее, чем 1000, 1000–1400 или 1401–2000 геопотенциальных метров над средним уровнем моря, соответственно.</w:t>
            </w:r>
          </w:p>
        </w:tc>
      </w:tr>
      <w:tr>
        <w:trPr>
          <w:cantSplit/>
        </w:trPr>
        <w:tc>
          <w:tcPr>
            <w:tcW w:type="dxa" w:w="1514"/>
          </w:tcPr>
          <w:p>
            <w:pPr>
              <w:spacing w:before="20" w:after="20"/>
            </w:pPr>
            <w:r/>
            <w:r>
              <w:rPr>
                <w:rFonts w:ascii="Verdana" w:hAnsi="Verdana"/>
                <w:b w:val="0"/>
                <w:sz w:val="16"/>
              </w:rPr>
              <w:t>0 13 048</w:t>
            </w:r>
          </w:p>
        </w:tc>
        <w:tc>
          <w:tcPr>
            <w:tcW w:type="dxa" w:w="1514"/>
          </w:tcPr>
          <w:p>
            <w:pPr>
              <w:spacing w:before="20" w:after="20"/>
            </w:pPr>
            <w:r/>
            <w:r>
              <w:rPr>
                <w:rFonts w:ascii="Verdana" w:hAnsi="Verdana"/>
                <w:b w:val="0"/>
                <w:sz w:val="16"/>
              </w:rPr>
              <w:t>Доля воды</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0 13 051</w:t>
            </w:r>
          </w:p>
        </w:tc>
        <w:tc>
          <w:tcPr>
            <w:tcW w:type="dxa" w:w="1514"/>
          </w:tcPr>
          <w:p>
            <w:pPr>
              <w:spacing w:before="20" w:after="20"/>
            </w:pPr>
            <w:r/>
            <w:r>
              <w:rPr>
                <w:rFonts w:ascii="Verdana" w:hAnsi="Verdana"/>
                <w:b w:val="0"/>
                <w:sz w:val="16"/>
              </w:rPr>
              <w:t>Группа повторяемости, осадки</w:t>
            </w:r>
          </w:p>
        </w:tc>
        <w:tc>
          <w:tcPr>
            <w:tcW w:type="dxa" w:w="1514"/>
          </w:tcPr>
          <w:p>
            <w:pPr>
              <w:spacing w:before="20" w:after="20"/>
            </w:pPr>
            <w:r/>
            <w:r>
              <w:rPr>
                <w:rFonts w:ascii="Verdana" w:hAnsi="Verdana"/>
                <w:sz w:val="16"/>
              </w:rPr>
              <w:t>Кодовая таблица</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Кодовая таблица</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0 13 052</w:t>
            </w:r>
          </w:p>
        </w:tc>
        <w:tc>
          <w:tcPr>
            <w:tcW w:type="dxa" w:w="1514"/>
          </w:tcPr>
          <w:p>
            <w:pPr>
              <w:spacing w:before="20" w:after="20"/>
            </w:pPr>
            <w:r/>
            <w:r>
              <w:rPr>
                <w:rFonts w:ascii="Verdana" w:hAnsi="Verdana"/>
                <w:b w:val="0"/>
                <w:sz w:val="16"/>
              </w:rPr>
              <w:t>Самое высокое суточное количество осадков</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0 13 055</w:t>
            </w:r>
          </w:p>
        </w:tc>
        <w:tc>
          <w:tcPr>
            <w:tcW w:type="dxa" w:w="1514"/>
          </w:tcPr>
          <w:p>
            <w:pPr>
              <w:spacing w:before="20" w:after="20"/>
            </w:pPr>
            <w:r/>
            <w:r>
              <w:rPr>
                <w:rFonts w:ascii="Verdana" w:hAnsi="Verdana"/>
                <w:b w:val="0"/>
                <w:sz w:val="16"/>
              </w:rPr>
              <w:t>Интенсивность осадков</w:t>
            </w:r>
          </w:p>
        </w:tc>
        <w:tc>
          <w:tcPr>
            <w:tcW w:type="dxa" w:w="1514"/>
          </w:tcPr>
          <w:p>
            <w:pPr>
              <w:spacing w:before="20" w:after="20"/>
            </w:pPr>
            <w:r/>
            <w:r>
              <w:rPr>
                <w:rFonts w:ascii="Verdana" w:hAnsi="Verdana"/>
                <w:sz w:val="16"/>
              </w:rPr>
              <w:t>kg m</w:t>
            </w:r>
            <w:r>
              <w:rPr>
                <w:rFonts w:ascii="Verdana" w:hAnsi="Verdana"/>
                <w:sz w:val="16"/>
                <w:vertAlign w:val="superscript"/>
              </w:rPr>
              <w:t>-2</w:t>
            </w:r>
            <w:r>
              <w:rPr>
                <w:rFonts w:ascii="Verdana" w:hAnsi="Verdana"/>
                <w:sz w:val="16"/>
              </w:rPr>
              <w:t xml:space="preserve"> s</w:t>
            </w:r>
            <w:r>
              <w:rPr>
                <w:rFonts w:ascii="Verdana" w:hAnsi="Verdana"/>
                <w:sz w:val="16"/>
                <w:vertAlign w:val="superscript"/>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mm/h</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0 13 056</w:t>
            </w:r>
          </w:p>
        </w:tc>
        <w:tc>
          <w:tcPr>
            <w:tcW w:type="dxa" w:w="1514"/>
          </w:tcPr>
          <w:p>
            <w:pPr>
              <w:spacing w:before="20" w:after="20"/>
            </w:pPr>
            <w:r/>
            <w:r>
              <w:rPr>
                <w:rFonts w:ascii="Verdana" w:hAnsi="Verdana"/>
                <w:b w:val="0"/>
                <w:sz w:val="16"/>
              </w:rPr>
              <w:t>Характер и интенсивность осадков</w:t>
            </w:r>
          </w:p>
        </w:tc>
        <w:tc>
          <w:tcPr>
            <w:tcW w:type="dxa" w:w="1514"/>
          </w:tcPr>
          <w:p>
            <w:pPr>
              <w:spacing w:before="20" w:after="20"/>
            </w:pPr>
            <w:r/>
            <w:r>
              <w:rPr>
                <w:rFonts w:ascii="Verdana" w:hAnsi="Verdana"/>
                <w:sz w:val="16"/>
              </w:rPr>
              <w:t>Кодовая таблица</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Кодовая таблица</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0 13 057</w:t>
            </w:r>
          </w:p>
        </w:tc>
        <w:tc>
          <w:tcPr>
            <w:tcW w:type="dxa" w:w="1514"/>
          </w:tcPr>
          <w:p>
            <w:pPr>
              <w:spacing w:before="20" w:after="20"/>
            </w:pPr>
            <w:r/>
            <w:r>
              <w:rPr>
                <w:rFonts w:ascii="Verdana" w:hAnsi="Verdana"/>
                <w:b w:val="0"/>
                <w:sz w:val="16"/>
              </w:rPr>
              <w:t>Время начала или окончания осадков</w:t>
            </w:r>
          </w:p>
        </w:tc>
        <w:tc>
          <w:tcPr>
            <w:tcW w:type="dxa" w:w="1514"/>
          </w:tcPr>
          <w:p>
            <w:pPr>
              <w:spacing w:before="20" w:after="20"/>
            </w:pPr>
            <w:r/>
            <w:r>
              <w:rPr>
                <w:rFonts w:ascii="Verdana" w:hAnsi="Verdana"/>
                <w:sz w:val="16"/>
              </w:rPr>
              <w:t>Кодовая таблица</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Кодовая таблица</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0 13 058</w:t>
            </w:r>
          </w:p>
        </w:tc>
        <w:tc>
          <w:tcPr>
            <w:tcW w:type="dxa" w:w="1514"/>
          </w:tcPr>
          <w:p>
            <w:pPr>
              <w:spacing w:before="20" w:after="20"/>
            </w:pPr>
            <w:r/>
            <w:r>
              <w:rPr>
                <w:rFonts w:ascii="Verdana" w:hAnsi="Verdana"/>
                <w:b w:val="0"/>
                <w:sz w:val="16"/>
              </w:rPr>
              <w:t>Размер элемента осадков</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mm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0 13 059</w:t>
            </w:r>
          </w:p>
        </w:tc>
        <w:tc>
          <w:tcPr>
            <w:tcW w:type="dxa" w:w="1514"/>
          </w:tcPr>
          <w:p>
            <w:pPr>
              <w:spacing w:before="20" w:after="20"/>
            </w:pPr>
            <w:r/>
            <w:r>
              <w:rPr>
                <w:rFonts w:ascii="Verdana" w:hAnsi="Verdana"/>
                <w:b w:val="0"/>
                <w:sz w:val="16"/>
              </w:rPr>
              <w:t>Количество вспышек (гроза)</w:t>
            </w:r>
          </w:p>
        </w:tc>
        <w:tc>
          <w:tcPr>
            <w:tcW w:type="dxa" w:w="1514"/>
          </w:tcPr>
          <w:p>
            <w:pPr>
              <w:spacing w:before="20" w:after="20"/>
            </w:pPr>
            <w:r/>
            <w:r>
              <w:rPr>
                <w:rFonts w:ascii="Verdana" w:hAnsi="Verdana"/>
                <w:sz w:val="16"/>
              </w:rPr>
              <w:t>Числовой</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Числовой</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0 13 060</w:t>
            </w:r>
          </w:p>
        </w:tc>
        <w:tc>
          <w:tcPr>
            <w:tcW w:type="dxa" w:w="1514"/>
          </w:tcPr>
          <w:p>
            <w:pPr>
              <w:spacing w:before="20" w:after="20"/>
            </w:pPr>
            <w:r/>
            <w:r>
              <w:rPr>
                <w:rFonts w:ascii="Verdana" w:hAnsi="Verdana"/>
                <w:b w:val="0"/>
                <w:sz w:val="16"/>
              </w:rPr>
              <w:t>Общие суммарные осадки</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0 13 071</w:t>
            </w:r>
          </w:p>
        </w:tc>
        <w:tc>
          <w:tcPr>
            <w:tcW w:type="dxa" w:w="1514"/>
          </w:tcPr>
          <w:p>
            <w:pPr>
              <w:spacing w:before="20" w:after="20"/>
            </w:pPr>
            <w:r/>
            <w:r>
              <w:rPr>
                <w:rFonts w:ascii="Verdana" w:hAnsi="Verdana"/>
                <w:b w:val="0"/>
                <w:sz w:val="16"/>
              </w:rPr>
              <w:t>Уровень воды в верхнем течении</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0 13 072</w:t>
            </w:r>
          </w:p>
        </w:tc>
        <w:tc>
          <w:tcPr>
            <w:tcW w:type="dxa" w:w="1514"/>
          </w:tcPr>
          <w:p>
            <w:pPr>
              <w:spacing w:before="20" w:after="20"/>
            </w:pPr>
            <w:r/>
            <w:r>
              <w:rPr>
                <w:rFonts w:ascii="Verdana" w:hAnsi="Verdana"/>
                <w:b w:val="0"/>
                <w:sz w:val="16"/>
              </w:rPr>
              <w:t>Уровень воды в нижнем течении</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0 13 073</w:t>
            </w:r>
          </w:p>
        </w:tc>
        <w:tc>
          <w:tcPr>
            <w:tcW w:type="dxa" w:w="1514"/>
          </w:tcPr>
          <w:p>
            <w:pPr>
              <w:spacing w:before="20" w:after="20"/>
            </w:pPr>
            <w:r/>
            <w:r>
              <w:rPr>
                <w:rFonts w:ascii="Verdana" w:hAnsi="Verdana"/>
                <w:b w:val="0"/>
                <w:sz w:val="16"/>
              </w:rPr>
              <w:t>Максимальный уровень воды</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0 13 074</w:t>
            </w:r>
          </w:p>
        </w:tc>
        <w:tc>
          <w:tcPr>
            <w:tcW w:type="dxa" w:w="1514"/>
          </w:tcPr>
          <w:p>
            <w:pPr>
              <w:spacing w:before="20" w:after="20"/>
            </w:pPr>
            <w:r/>
            <w:r>
              <w:rPr>
                <w:rFonts w:ascii="Verdana" w:hAnsi="Verdana"/>
                <w:b w:val="0"/>
                <w:sz w:val="16"/>
              </w:rPr>
              <w:t>Уровень грунтовых вод</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18</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0 13 080</w:t>
            </w:r>
          </w:p>
        </w:tc>
        <w:tc>
          <w:tcPr>
            <w:tcW w:type="dxa" w:w="1514"/>
          </w:tcPr>
          <w:p>
            <w:pPr>
              <w:spacing w:before="20" w:after="20"/>
            </w:pPr>
            <w:r/>
            <w:r>
              <w:rPr>
                <w:rFonts w:ascii="Verdana" w:hAnsi="Verdana"/>
                <w:b w:val="0"/>
                <w:sz w:val="16"/>
              </w:rPr>
              <w:t>pH воды</w:t>
            </w:r>
          </w:p>
        </w:tc>
        <w:tc>
          <w:tcPr>
            <w:tcW w:type="dxa" w:w="1514"/>
          </w:tcPr>
          <w:p>
            <w:pPr>
              <w:spacing w:before="20" w:after="20"/>
            </w:pPr>
            <w:r/>
            <w:r>
              <w:rPr>
                <w:rFonts w:ascii="Verdana" w:hAnsi="Verdana"/>
                <w:sz w:val="16"/>
              </w:rPr>
              <w:t>pH unit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pH unit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0 13 081</w:t>
            </w:r>
          </w:p>
        </w:tc>
        <w:tc>
          <w:tcPr>
            <w:tcW w:type="dxa" w:w="1514"/>
          </w:tcPr>
          <w:p>
            <w:pPr>
              <w:spacing w:before="20" w:after="20"/>
            </w:pPr>
            <w:r/>
            <w:r>
              <w:rPr>
                <w:rFonts w:ascii="Verdana" w:hAnsi="Verdana"/>
                <w:b w:val="0"/>
                <w:sz w:val="16"/>
              </w:rPr>
              <w:t>Проводимость воды</w:t>
            </w:r>
          </w:p>
        </w:tc>
        <w:tc>
          <w:tcPr>
            <w:tcW w:type="dxa" w:w="1514"/>
          </w:tcPr>
          <w:p>
            <w:pPr>
              <w:spacing w:before="20" w:after="20"/>
            </w:pPr>
            <w:r/>
            <w:r>
              <w:rPr>
                <w:rFonts w:ascii="Verdana" w:hAnsi="Verdana"/>
                <w:sz w:val="16"/>
              </w:rPr>
              <w:t>S/m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S/m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0 13 082</w:t>
            </w:r>
          </w:p>
        </w:tc>
        <w:tc>
          <w:tcPr>
            <w:tcW w:type="dxa" w:w="1514"/>
          </w:tcPr>
          <w:p>
            <w:pPr>
              <w:spacing w:before="20" w:after="20"/>
            </w:pPr>
            <w:r/>
            <w:r>
              <w:rPr>
                <w:rFonts w:ascii="Verdana" w:hAnsi="Verdana"/>
                <w:b w:val="0"/>
                <w:sz w:val="16"/>
              </w:rPr>
              <w:t>Температура воды</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0 13 083</w:t>
            </w:r>
          </w:p>
        </w:tc>
        <w:tc>
          <w:tcPr>
            <w:tcW w:type="dxa" w:w="1514"/>
          </w:tcPr>
          <w:p>
            <w:pPr>
              <w:spacing w:before="20" w:after="20"/>
            </w:pPr>
            <w:r/>
            <w:r>
              <w:rPr>
                <w:rFonts w:ascii="Verdana" w:hAnsi="Verdana"/>
                <w:b w:val="0"/>
                <w:sz w:val="16"/>
              </w:rPr>
              <w:t>Растворенный кислород</w:t>
            </w:r>
          </w:p>
        </w:tc>
        <w:tc>
          <w:tcPr>
            <w:tcW w:type="dxa" w:w="1514"/>
          </w:tcPr>
          <w:p>
            <w:pPr>
              <w:spacing w:before="20" w:after="20"/>
            </w:pPr>
            <w:r/>
            <w:r>
              <w:rPr>
                <w:rFonts w:ascii="Verdana" w:hAnsi="Verdana"/>
                <w:sz w:val="16"/>
              </w:rPr>
              <w:t>kg m</w:t>
            </w:r>
            <w:r>
              <w:rPr>
                <w:rFonts w:ascii="Verdana" w:hAnsi="Verdana"/>
                <w:sz w:val="16"/>
                <w:vertAlign w:val="superscript"/>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kg m</w:t>
            </w:r>
            <w:r>
              <w:rPr>
                <w:rFonts w:ascii="Verdana" w:hAnsi="Verdana"/>
                <w:sz w:val="16"/>
                <w:vertAlign w:val="superscript"/>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0 13 084</w:t>
            </w:r>
          </w:p>
        </w:tc>
        <w:tc>
          <w:tcPr>
            <w:tcW w:type="dxa" w:w="1514"/>
          </w:tcPr>
          <w:p>
            <w:pPr>
              <w:spacing w:before="20" w:after="20"/>
            </w:pPr>
            <w:r/>
            <w:r>
              <w:rPr>
                <w:rFonts w:ascii="Verdana" w:hAnsi="Verdana"/>
                <w:b w:val="0"/>
                <w:sz w:val="16"/>
              </w:rPr>
              <w:t>Мутность</w:t>
            </w:r>
          </w:p>
        </w:tc>
        <w:tc>
          <w:tcPr>
            <w:tcW w:type="dxa" w:w="1514"/>
          </w:tcPr>
          <w:p>
            <w:pPr>
              <w:spacing w:before="20" w:after="20"/>
            </w:pPr>
            <w:r/>
            <w:r>
              <w:rPr>
                <w:rFonts w:ascii="Verdana" w:hAnsi="Verdana"/>
                <w:sz w:val="16"/>
              </w:rPr>
              <w:t>lm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lm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0 13 085</w:t>
            </w:r>
          </w:p>
        </w:tc>
        <w:tc>
          <w:tcPr>
            <w:tcW w:type="dxa" w:w="1514"/>
          </w:tcPr>
          <w:p>
            <w:pPr>
              <w:spacing w:before="20" w:after="20"/>
            </w:pPr>
            <w:r/>
            <w:r>
              <w:rPr>
                <w:rFonts w:ascii="Verdana" w:hAnsi="Verdana"/>
                <w:b w:val="0"/>
                <w:sz w:val="16"/>
              </w:rPr>
              <w:t>Окислительно–восстановительный потенциал (ОВП)</w:t>
            </w:r>
          </w:p>
        </w:tc>
        <w:tc>
          <w:tcPr>
            <w:tcW w:type="dxa" w:w="1514"/>
          </w:tcPr>
          <w:p>
            <w:pPr>
              <w:spacing w:before="20" w:after="20"/>
            </w:pPr>
            <w:r/>
            <w:r>
              <w:rPr>
                <w:rFonts w:ascii="Verdana" w:hAnsi="Verdana"/>
                <w:sz w:val="16"/>
              </w:rPr>
              <w:t>V</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V</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0 13 090</w:t>
            </w:r>
          </w:p>
        </w:tc>
        <w:tc>
          <w:tcPr>
            <w:tcW w:type="dxa" w:w="1514"/>
          </w:tcPr>
          <w:p>
            <w:pPr>
              <w:spacing w:before="20" w:after="20"/>
            </w:pPr>
            <w:r/>
            <w:r>
              <w:rPr>
                <w:rFonts w:ascii="Verdana" w:hAnsi="Verdana"/>
                <w:b w:val="0"/>
                <w:sz w:val="16"/>
              </w:rPr>
              <w:t>Содержание водяного пара, определяемое посредством радиометра</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0 13 091</w:t>
            </w:r>
          </w:p>
        </w:tc>
        <w:tc>
          <w:tcPr>
            <w:tcW w:type="dxa" w:w="1514"/>
          </w:tcPr>
          <w:p>
            <w:pPr>
              <w:spacing w:before="20" w:after="20"/>
            </w:pPr>
            <w:r/>
            <w:r>
              <w:rPr>
                <w:rFonts w:ascii="Verdana" w:hAnsi="Verdana"/>
                <w:b w:val="0"/>
                <w:sz w:val="16"/>
              </w:rPr>
              <w:t>Содержание жидкости, определяемое посредством радиометра</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0 13 093</w:t>
            </w:r>
          </w:p>
        </w:tc>
        <w:tc>
          <w:tcPr>
            <w:tcW w:type="dxa" w:w="1514"/>
          </w:tcPr>
          <w:p>
            <w:pPr>
              <w:spacing w:before="20" w:after="20"/>
            </w:pPr>
            <w:r/>
            <w:r>
              <w:rPr>
                <w:rFonts w:ascii="Verdana" w:hAnsi="Verdana"/>
                <w:b w:val="0"/>
                <w:sz w:val="16"/>
              </w:rPr>
              <w:t>Оптическая толщина облаков</w:t>
            </w:r>
          </w:p>
        </w:tc>
        <w:tc>
          <w:tcPr>
            <w:tcW w:type="dxa" w:w="1514"/>
          </w:tcPr>
          <w:p>
            <w:pPr>
              <w:spacing w:before="20" w:after="20"/>
            </w:pPr>
            <w:r/>
            <w:r>
              <w:rPr>
                <w:rFonts w:ascii="Verdana" w:hAnsi="Verdana"/>
                <w:sz w:val="16"/>
              </w:rPr>
              <w:t>Числовой</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Числовой</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0 13 095</w:t>
            </w:r>
          </w:p>
        </w:tc>
        <w:tc>
          <w:tcPr>
            <w:tcW w:type="dxa" w:w="1514"/>
          </w:tcPr>
          <w:p>
            <w:pPr>
              <w:spacing w:before="20" w:after="20"/>
            </w:pPr>
            <w:r/>
            <w:r>
              <w:rPr>
                <w:rFonts w:ascii="Verdana" w:hAnsi="Verdana"/>
                <w:b w:val="0"/>
                <w:sz w:val="16"/>
              </w:rPr>
              <w:t>Общее количество водяных паров в столбе воздуха</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19</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0 13 096</w:t>
            </w:r>
          </w:p>
        </w:tc>
        <w:tc>
          <w:tcPr>
            <w:tcW w:type="dxa" w:w="1514"/>
          </w:tcPr>
          <w:p>
            <w:pPr>
              <w:spacing w:before="20" w:after="20"/>
            </w:pPr>
            <w:r/>
            <w:r>
              <w:rPr>
                <w:rFonts w:ascii="Verdana" w:hAnsi="Verdana"/>
                <w:b w:val="0"/>
                <w:sz w:val="16"/>
              </w:rPr>
              <w:t>Содержание водяных паров по данным MWR</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0 13 097</w:t>
            </w:r>
          </w:p>
        </w:tc>
        <w:tc>
          <w:tcPr>
            <w:tcW w:type="dxa" w:w="1514"/>
          </w:tcPr>
          <w:p>
            <w:pPr>
              <w:spacing w:before="20" w:after="20"/>
            </w:pPr>
            <w:r/>
            <w:r>
              <w:rPr>
                <w:rFonts w:ascii="Verdana" w:hAnsi="Verdana"/>
                <w:b w:val="0"/>
                <w:sz w:val="16"/>
              </w:rPr>
              <w:t>Содержание жидкой воды по данным MWR</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0 13 098</w:t>
            </w:r>
          </w:p>
        </w:tc>
        <w:tc>
          <w:tcPr>
            <w:tcW w:type="dxa" w:w="1514"/>
          </w:tcPr>
          <w:p>
            <w:pPr>
              <w:spacing w:before="20" w:after="20"/>
            </w:pPr>
            <w:r/>
            <w:r>
              <w:rPr>
                <w:rFonts w:ascii="Verdana" w:hAnsi="Verdana"/>
                <w:b w:val="0"/>
                <w:sz w:val="16"/>
              </w:rPr>
              <w:t>Интегральная плотность водяных паров</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30</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0 13 099</w:t>
            </w:r>
          </w:p>
        </w:tc>
        <w:tc>
          <w:tcPr>
            <w:tcW w:type="dxa" w:w="1514"/>
          </w:tcPr>
          <w:p>
            <w:pPr>
              <w:spacing w:before="20" w:after="20"/>
            </w:pPr>
            <w:r/>
            <w:r>
              <w:rPr>
                <w:rFonts w:ascii="Verdana" w:hAnsi="Verdana"/>
                <w:b w:val="0"/>
                <w:sz w:val="16"/>
              </w:rPr>
              <w:t>Log10 суммарной плотности частиц в облаке</w:t>
            </w:r>
          </w:p>
        </w:tc>
        <w:tc>
          <w:tcPr>
            <w:tcW w:type="dxa" w:w="1514"/>
          </w:tcPr>
          <w:p>
            <w:pPr>
              <w:spacing w:before="20" w:after="20"/>
            </w:pPr>
            <w:r/>
            <w:r>
              <w:rPr>
                <w:rFonts w:ascii="Verdana" w:hAnsi="Verdana"/>
                <w:sz w:val="16"/>
              </w:rPr>
              <w:t>log(m</w:t>
            </w:r>
            <w:r>
              <w:rPr>
                <w:rFonts w:ascii="Verdana" w:hAnsi="Verdana"/>
                <w:sz w:val="16"/>
                <w:vertAlign w:val="superscript"/>
              </w:rPr>
              <w:t>-2</w:t>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log(m</w:t>
            </w:r>
            <w:r>
              <w:rPr>
                <w:rFonts w:ascii="Verdana" w:hAnsi="Verdana"/>
                <w:sz w:val="16"/>
                <w:vertAlign w:val="superscript"/>
              </w:rPr>
              <w:t>-2</w:t>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0 13 100</w:t>
            </w:r>
          </w:p>
        </w:tc>
        <w:tc>
          <w:tcPr>
            <w:tcW w:type="dxa" w:w="1514"/>
          </w:tcPr>
          <w:p>
            <w:pPr>
              <w:spacing w:before="20" w:after="20"/>
            </w:pPr>
            <w:r/>
            <w:r>
              <w:rPr>
                <w:rFonts w:ascii="Verdana" w:hAnsi="Verdana"/>
                <w:b w:val="0"/>
                <w:sz w:val="16"/>
              </w:rPr>
              <w:t>Log10 суммарной площади частиц в облаке</w:t>
            </w:r>
          </w:p>
        </w:tc>
        <w:tc>
          <w:tcPr>
            <w:tcW w:type="dxa" w:w="1514"/>
          </w:tcPr>
          <w:p>
            <w:pPr>
              <w:spacing w:before="20" w:after="20"/>
            </w:pPr>
            <w:r/>
            <w:r>
              <w:rPr>
                <w:rFonts w:ascii="Verdana" w:hAnsi="Verdana"/>
                <w:sz w:val="16"/>
              </w:rPr>
              <w:t>log(m</w:t>
            </w:r>
            <w:r>
              <w:rPr>
                <w:rFonts w:ascii="Verdana" w:hAnsi="Verdana"/>
                <w:sz w:val="16"/>
                <w:vertAlign w:val="superscript"/>
              </w:rPr>
              <w:t>2</w:t>
            </w:r>
            <w:r>
              <w:rPr>
                <w:rFonts w:ascii="Verdana" w:hAnsi="Verdana"/>
                <w:sz w:val="16"/>
              </w:rPr>
              <w:t xml:space="preserve"> m</w:t>
            </w:r>
            <w:r>
              <w:rPr>
                <w:rFonts w:ascii="Verdana" w:hAnsi="Verdana"/>
                <w:sz w:val="16"/>
                <w:vertAlign w:val="superscript"/>
              </w:rPr>
              <w:t>-2</w:t>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-70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log(m</w:t>
            </w:r>
            <w:r>
              <w:rPr>
                <w:rFonts w:ascii="Verdana" w:hAnsi="Verdana"/>
                <w:sz w:val="16"/>
                <w:vertAlign w:val="superscript"/>
              </w:rPr>
              <w:t>2</w:t>
            </w:r>
            <w:r>
              <w:rPr>
                <w:rFonts w:ascii="Verdana" w:hAnsi="Verdana"/>
                <w:sz w:val="16"/>
              </w:rPr>
              <w:t xml:space="preserve"> m</w:t>
            </w:r>
            <w:r>
              <w:rPr>
                <w:rFonts w:ascii="Verdana" w:hAnsi="Verdana"/>
                <w:sz w:val="16"/>
                <w:vertAlign w:val="superscript"/>
              </w:rPr>
              <w:t>-2</w:t>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0 13 101</w:t>
            </w:r>
          </w:p>
        </w:tc>
        <w:tc>
          <w:tcPr>
            <w:tcW w:type="dxa" w:w="1514"/>
          </w:tcPr>
          <w:p>
            <w:pPr>
              <w:spacing w:before="20" w:after="20"/>
            </w:pPr>
            <w:r/>
            <w:r>
              <w:rPr>
                <w:rFonts w:ascii="Verdana" w:hAnsi="Verdana"/>
                <w:b w:val="0"/>
                <w:sz w:val="16"/>
              </w:rPr>
              <w:t>Log10 суммарного объема частиц в облаке</w:t>
            </w:r>
          </w:p>
        </w:tc>
        <w:tc>
          <w:tcPr>
            <w:tcW w:type="dxa" w:w="1514"/>
          </w:tcPr>
          <w:p>
            <w:pPr>
              <w:spacing w:before="20" w:after="20"/>
            </w:pPr>
            <w:r/>
            <w:r>
              <w:rPr>
                <w:rFonts w:ascii="Verdana" w:hAnsi="Verdana"/>
                <w:sz w:val="16"/>
              </w:rPr>
              <w:t>log(m</w:t>
            </w:r>
            <w:r>
              <w:rPr>
                <w:rFonts w:ascii="Verdana" w:hAnsi="Verdana"/>
                <w:sz w:val="16"/>
                <w:vertAlign w:val="superscript"/>
              </w:rPr>
              <w:t>3</w:t>
            </w:r>
            <w:r>
              <w:rPr>
                <w:rFonts w:ascii="Verdana" w:hAnsi="Verdana"/>
                <w:sz w:val="16"/>
              </w:rPr>
              <w:t xml:space="preserve"> m</w:t>
            </w:r>
            <w:r>
              <w:rPr>
                <w:rFonts w:ascii="Verdana" w:hAnsi="Verdana"/>
                <w:sz w:val="16"/>
                <w:vertAlign w:val="superscript"/>
              </w:rPr>
              <w:t>-2</w:t>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-140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log(m</w:t>
            </w:r>
            <w:r>
              <w:rPr>
                <w:rFonts w:ascii="Verdana" w:hAnsi="Verdana"/>
                <w:sz w:val="16"/>
                <w:vertAlign w:val="superscript"/>
              </w:rPr>
              <w:t>3</w:t>
            </w:r>
            <w:r>
              <w:rPr>
                <w:rFonts w:ascii="Verdana" w:hAnsi="Verdana"/>
                <w:sz w:val="16"/>
              </w:rPr>
              <w:t xml:space="preserve"> m</w:t>
            </w:r>
            <w:r>
              <w:rPr>
                <w:rFonts w:ascii="Verdana" w:hAnsi="Verdana"/>
                <w:sz w:val="16"/>
                <w:vertAlign w:val="superscript"/>
              </w:rPr>
              <w:t>-2</w:t>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0 13 109</w:t>
            </w:r>
          </w:p>
        </w:tc>
        <w:tc>
          <w:tcPr>
            <w:tcW w:type="dxa" w:w="1514"/>
          </w:tcPr>
          <w:p>
            <w:pPr>
              <w:spacing w:before="20" w:after="20"/>
            </w:pPr>
            <w:r/>
            <w:r>
              <w:rPr>
                <w:rFonts w:ascii="Verdana" w:hAnsi="Verdana"/>
                <w:b w:val="0"/>
                <w:sz w:val="16"/>
              </w:rPr>
              <w:t>Траектория ледяных кристаллов/жидкой воды</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0 13 110</w:t>
            </w:r>
          </w:p>
        </w:tc>
        <w:tc>
          <w:tcPr>
            <w:tcW w:type="dxa" w:w="1514"/>
          </w:tcPr>
          <w:p>
            <w:pPr>
              <w:spacing w:before="20" w:after="20"/>
            </w:pPr>
            <w:r/>
            <w:r>
              <w:rPr>
                <w:rFonts w:ascii="Verdana" w:hAnsi="Verdana"/>
                <w:b w:val="0"/>
                <w:sz w:val="16"/>
              </w:rPr>
              <w:t>Соотношение компонентов смеси</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0 13 111</w:t>
            </w:r>
          </w:p>
        </w:tc>
        <w:tc>
          <w:tcPr>
            <w:tcW w:type="dxa" w:w="1514"/>
          </w:tcPr>
          <w:p>
            <w:pPr>
              <w:spacing w:before="20" w:after="20"/>
            </w:pPr>
            <w:r/>
            <w:r>
              <w:rPr>
                <w:rFonts w:ascii="Verdana" w:hAnsi="Verdana"/>
                <w:b w:val="0"/>
                <w:sz w:val="16"/>
              </w:rPr>
              <w:t>Влажность почвы</w:t>
            </w:r>
          </w:p>
        </w:tc>
        <w:tc>
          <w:tcPr>
            <w:tcW w:type="dxa" w:w="1514"/>
          </w:tcPr>
          <w:p>
            <w:pPr>
              <w:spacing w:before="20" w:after="20"/>
            </w:pPr>
            <w:r/>
            <w:r>
              <w:rPr>
                <w:rFonts w:ascii="Verdana" w:hAnsi="Verdana"/>
                <w:sz w:val="16"/>
              </w:rPr>
              <w:t>g/kg</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g/kg</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0 13 112</w:t>
            </w:r>
          </w:p>
        </w:tc>
        <w:tc>
          <w:tcPr>
            <w:tcW w:type="dxa" w:w="1514"/>
          </w:tcPr>
          <w:p>
            <w:pPr>
              <w:spacing w:before="20" w:after="20"/>
            </w:pPr>
            <w:r/>
            <w:r>
              <w:rPr>
                <w:rFonts w:ascii="Verdana" w:hAnsi="Verdana"/>
                <w:b w:val="0"/>
                <w:sz w:val="16"/>
              </w:rPr>
              <w:t>Продолжительность удержания влаги в объекте</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0 13 114</w:t>
            </w:r>
          </w:p>
        </w:tc>
        <w:tc>
          <w:tcPr>
            <w:tcW w:type="dxa" w:w="1514"/>
          </w:tcPr>
          <w:p>
            <w:pPr>
              <w:spacing w:before="20" w:after="20"/>
            </w:pPr>
            <w:r/>
            <w:r>
              <w:rPr>
                <w:rFonts w:ascii="Verdana" w:hAnsi="Verdana"/>
                <w:b w:val="0"/>
                <w:sz w:val="16"/>
              </w:rPr>
              <w:t>Скорость нарастания льда</w:t>
            </w:r>
          </w:p>
        </w:tc>
        <w:tc>
          <w:tcPr>
            <w:tcW w:type="dxa" w:w="1514"/>
          </w:tcPr>
          <w:p>
            <w:pPr>
              <w:spacing w:before="20" w:after="20"/>
            </w:pPr>
            <w:r/>
            <w:r>
              <w:rPr>
                <w:rFonts w:ascii="Verdana" w:hAnsi="Verdana"/>
                <w:sz w:val="16"/>
              </w:rPr>
              <w:t>kg m</w:t>
            </w:r>
            <w:r>
              <w:rPr>
                <w:rFonts w:ascii="Verdana" w:hAnsi="Verdana"/>
                <w:sz w:val="16"/>
                <w:vertAlign w:val="superscript"/>
              </w:rPr>
              <w:t>-2</w:t>
            </w:r>
            <w:r>
              <w:rPr>
                <w:rFonts w:ascii="Verdana" w:hAnsi="Verdana"/>
                <w:sz w:val="16"/>
              </w:rPr>
              <w:t xml:space="preserve"> h</w:t>
            </w:r>
            <w:r>
              <w:rPr>
                <w:rFonts w:ascii="Verdana" w:hAnsi="Verdana"/>
                <w:sz w:val="16"/>
                <w:vertAlign w:val="superscript"/>
              </w:rPr>
              <w:t>-1</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kg m</w:t>
            </w:r>
            <w:r>
              <w:rPr>
                <w:rFonts w:ascii="Verdana" w:hAnsi="Verdana"/>
                <w:sz w:val="16"/>
                <w:vertAlign w:val="superscript"/>
              </w:rPr>
              <w:t>-2</w:t>
            </w:r>
            <w:r>
              <w:rPr>
                <w:rFonts w:ascii="Verdana" w:hAnsi="Verdana"/>
                <w:sz w:val="16"/>
              </w:rPr>
              <w:t xml:space="preserve"> h</w:t>
            </w:r>
            <w:r>
              <w:rPr>
                <w:rFonts w:ascii="Verdana" w:hAnsi="Verdana"/>
                <w:sz w:val="16"/>
                <w:vertAlign w:val="superscript"/>
              </w:rPr>
              <w:t>-1</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0 13 115</w:t>
            </w:r>
          </w:p>
        </w:tc>
        <w:tc>
          <w:tcPr>
            <w:tcW w:type="dxa" w:w="1514"/>
          </w:tcPr>
          <w:p>
            <w:pPr>
              <w:spacing w:before="20" w:after="20"/>
            </w:pPr>
            <w:r/>
            <w:r>
              <w:rPr>
                <w:rFonts w:ascii="Verdana" w:hAnsi="Verdana"/>
                <w:b w:val="0"/>
                <w:sz w:val="16"/>
              </w:rPr>
              <w:t>Толщина льда</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19</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Note B88: Толщине льда (0 13 115) должен предшествовать тип поверхности (0 08 029), установленный на 11, 12, 13 или 14 для обозначения соответственно реки, озера, моря или ледника.</w:t>
            </w:r>
          </w:p>
        </w:tc>
      </w:tr>
      <w:tr>
        <w:trPr>
          <w:cantSplit/>
        </w:trPr>
        <w:tc>
          <w:tcPr>
            <w:tcW w:type="dxa" w:w="1514"/>
          </w:tcPr>
          <w:p>
            <w:pPr>
              <w:spacing w:before="20" w:after="20"/>
            </w:pPr>
            <w:r/>
            <w:r>
              <w:rPr>
                <w:rFonts w:ascii="Verdana" w:hAnsi="Verdana"/>
                <w:b w:val="0"/>
                <w:sz w:val="16"/>
              </w:rPr>
              <w:t>0 13 116</w:t>
            </w:r>
          </w:p>
        </w:tc>
        <w:tc>
          <w:tcPr>
            <w:tcW w:type="dxa" w:w="1514"/>
          </w:tcPr>
          <w:p>
            <w:pPr>
              <w:spacing w:before="20" w:after="20"/>
            </w:pPr>
            <w:r/>
            <w:r>
              <w:rPr>
                <w:rFonts w:ascii="Verdana" w:hAnsi="Verdana"/>
                <w:b w:val="0"/>
                <w:sz w:val="16"/>
              </w:rPr>
              <w:t>Толщина водяной пленки</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0 13 117</w:t>
            </w:r>
          </w:p>
        </w:tc>
        <w:tc>
          <w:tcPr>
            <w:tcW w:type="dxa" w:w="1514"/>
          </w:tcPr>
          <w:p>
            <w:pPr>
              <w:spacing w:before="20" w:after="20"/>
            </w:pPr>
            <w:r/>
            <w:r>
              <w:rPr>
                <w:rFonts w:ascii="Verdana" w:hAnsi="Verdana"/>
                <w:b w:val="0"/>
                <w:sz w:val="16"/>
              </w:rPr>
              <w:t>Плотность снега (содержание жидкой воды)</w:t>
            </w:r>
          </w:p>
        </w:tc>
        <w:tc>
          <w:tcPr>
            <w:tcW w:type="dxa" w:w="1514"/>
          </w:tcPr>
          <w:p>
            <w:pPr>
              <w:spacing w:before="20" w:after="20"/>
            </w:pPr>
            <w:r/>
            <w:r>
              <w:rPr>
                <w:rFonts w:ascii="Verdana" w:hAnsi="Verdana"/>
                <w:sz w:val="16"/>
              </w:rPr>
              <w:t>kg m</w:t>
            </w:r>
            <w:r>
              <w:rPr>
                <w:rFonts w:ascii="Verdana" w:hAnsi="Verdana"/>
                <w:sz w:val="16"/>
                <w:vertAlign w:val="superscript"/>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kg m</w:t>
            </w:r>
            <w:r>
              <w:rPr>
                <w:rFonts w:ascii="Verdana" w:hAnsi="Verdana"/>
                <w:sz w:val="16"/>
                <w:vertAlign w:val="superscript"/>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0 13 118</w:t>
            </w:r>
          </w:p>
        </w:tc>
        <w:tc>
          <w:tcPr>
            <w:tcW w:type="dxa" w:w="1514"/>
          </w:tcPr>
          <w:p>
            <w:pPr>
              <w:spacing w:before="20" w:after="20"/>
            </w:pPr>
            <w:r/>
            <w:r>
              <w:rPr>
                <w:rFonts w:ascii="Verdana" w:hAnsi="Verdana"/>
                <w:b w:val="0"/>
                <w:sz w:val="16"/>
              </w:rPr>
              <w:t>Высота свежевыпавшего снега (высокая точность)</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B41: Значение высоты свежевыпавшего снега (0 13 118), установленное на –0,001 до масштабирования (–1 после него или в коде CREX), должно указывать незначительную высоту снега (менее 0,0005 м). Значение высоты свежевыпавшего снега (0 13 118), установленное на –0,002 до масштабирования (–2 после масштабирования или в коде CREX), должно указывать, что «снежный покров не сплошной».</w:t>
            </w:r>
          </w:p>
        </w:tc>
      </w:tr>
      <w:tr>
        <w:trPr>
          <w:cantSplit/>
        </w:trPr>
        <w:tc>
          <w:tcPr>
            <w:tcW w:type="dxa" w:w="1514"/>
          </w:tcPr>
          <w:p>
            <w:pPr>
              <w:spacing w:before="20" w:after="20"/>
            </w:pPr>
            <w:r/>
            <w:r>
              <w:rPr>
                <w:rFonts w:ascii="Verdana" w:hAnsi="Verdana"/>
                <w:b w:val="0"/>
                <w:sz w:val="16"/>
              </w:rPr>
              <w:t>0 13 155</w:t>
            </w:r>
          </w:p>
        </w:tc>
        <w:tc>
          <w:tcPr>
            <w:tcW w:type="dxa" w:w="1514"/>
          </w:tcPr>
          <w:p>
            <w:pPr>
              <w:spacing w:before="20" w:after="20"/>
            </w:pPr>
            <w:r/>
            <w:r>
              <w:rPr>
                <w:rFonts w:ascii="Verdana" w:hAnsi="Verdana"/>
                <w:b w:val="0"/>
                <w:sz w:val="16"/>
              </w:rPr>
              <w:t>Интенсивность осадков (высокая точность)</w:t>
            </w:r>
          </w:p>
        </w:tc>
        <w:tc>
          <w:tcPr>
            <w:tcW w:type="dxa" w:w="1514"/>
          </w:tcPr>
          <w:p>
            <w:pPr>
              <w:spacing w:before="20" w:after="20"/>
            </w:pPr>
            <w:r/>
            <w:r>
              <w:rPr>
                <w:rFonts w:ascii="Verdana" w:hAnsi="Verdana"/>
                <w:sz w:val="16"/>
              </w:rPr>
              <w:t>kg m</w:t>
            </w:r>
            <w:r>
              <w:rPr>
                <w:rFonts w:ascii="Verdana" w:hAnsi="Verdana"/>
                <w:sz w:val="16"/>
                <w:vertAlign w:val="superscript"/>
              </w:rPr>
              <w:t>-2</w:t>
            </w:r>
            <w:r>
              <w:rPr>
                <w:rFonts w:ascii="Verdana" w:hAnsi="Verdana"/>
                <w:sz w:val="16"/>
              </w:rPr>
              <w:t xml:space="preserve"> s</w:t>
            </w:r>
            <w:r>
              <w:rPr>
                <w:rFonts w:ascii="Verdana" w:hAnsi="Verdana"/>
                <w:sz w:val="16"/>
                <w:vertAlign w:val="superscript"/>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mm/h</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B28: Значение интенсивности осадков –0,00001 кг·м-2·с-1 до масштабирования (–1 после масштабирования) и –0,01 мм·ч-1 до масштабирования (–1 после масштабирования) должно указывать на «следы» осадков в BUFR и в CREX соответственно.</w:t>
            </w:r>
          </w:p>
        </w:tc>
      </w:tr>
      <w:tr>
        <w:trPr>
          <w:cantSplit/>
        </w:trPr>
        <w:tc>
          <w:tcPr>
            <w:tcW w:type="dxa" w:w="1514"/>
          </w:tcPr>
          <w:p>
            <w:pPr>
              <w:spacing w:before="20" w:after="20"/>
            </w:pPr>
            <w:r/>
            <w:r>
              <w:rPr>
                <w:rFonts w:ascii="Verdana" w:hAnsi="Verdana"/>
                <w:b w:val="0"/>
                <w:sz w:val="16"/>
              </w:rPr>
              <w:t>0 13 160</w:t>
            </w:r>
          </w:p>
        </w:tc>
        <w:tc>
          <w:tcPr>
            <w:tcW w:type="dxa" w:w="1514"/>
          </w:tcPr>
          <w:p>
            <w:pPr>
              <w:spacing w:before="20" w:after="20"/>
            </w:pPr>
            <w:r/>
            <w:r>
              <w:rPr>
                <w:rFonts w:ascii="Verdana" w:hAnsi="Verdana"/>
                <w:b w:val="0"/>
                <w:sz w:val="16"/>
              </w:rPr>
              <w:t>Содержание жидкости, определяемое посредством радиометра</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-350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0 13 162</w:t>
            </w:r>
          </w:p>
        </w:tc>
        <w:tc>
          <w:tcPr>
            <w:tcW w:type="dxa" w:w="1514"/>
          </w:tcPr>
          <w:p>
            <w:pPr>
              <w:spacing w:before="20" w:after="20"/>
            </w:pPr>
            <w:r/>
            <w:r>
              <w:rPr>
                <w:rFonts w:ascii="Verdana" w:hAnsi="Verdana"/>
                <w:b w:val="0"/>
                <w:sz w:val="16"/>
              </w:rPr>
              <w:t>Вода в жидкой фазе в облаке</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0 13 163</w:t>
            </w:r>
          </w:p>
        </w:tc>
        <w:tc>
          <w:tcPr>
            <w:tcW w:type="dxa" w:w="1514"/>
          </w:tcPr>
          <w:p>
            <w:pPr>
              <w:spacing w:before="20" w:after="20"/>
            </w:pPr>
            <w:r/>
            <w:r>
              <w:rPr>
                <w:rFonts w:ascii="Verdana" w:hAnsi="Verdana"/>
                <w:b w:val="0"/>
                <w:sz w:val="16"/>
              </w:rPr>
              <w:t>Водный эквивалент снега</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0 13 164</w:t>
            </w:r>
          </w:p>
        </w:tc>
        <w:tc>
          <w:tcPr>
            <w:tcW w:type="dxa" w:w="1514"/>
          </w:tcPr>
          <w:p>
            <w:pPr>
              <w:spacing w:before="20" w:after="20"/>
            </w:pPr>
            <w:r/>
            <w:r>
              <w:rPr>
                <w:rFonts w:ascii="Verdana" w:hAnsi="Verdana"/>
                <w:b w:val="0"/>
                <w:sz w:val="16"/>
              </w:rPr>
              <w:t>Надводная часть морского льда</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-131072</w:t>
            </w:r>
          </w:p>
        </w:tc>
        <w:tc>
          <w:tcPr>
            <w:tcW w:type="dxa" w:w="1514"/>
          </w:tcPr>
          <w:p>
            <w:pPr>
              <w:spacing w:before="20" w:after="20"/>
            </w:pPr>
            <w:r/>
            <w:r>
              <w:rPr>
                <w:rFonts w:ascii="Verdana" w:hAnsi="Verdana"/>
                <w:b w:val="0"/>
                <w:sz w:val="16"/>
              </w:rPr>
              <w:t>18</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bl>
    <w:p/>
    <w:p>
      <w:r>
        <w:rPr>
          <w:rFonts w:ascii="Verdana" w:hAnsi="Verdana"/>
          <w:i/>
          <w:sz w:val="14"/>
        </w:rPr>
        <w:t>Note B23: Значение осадков –0,1 кг·м-2 до масштабирования (–1 после масштабирования или в коде CREX) должно указывать на «следы» осадков (не поддающиеся измерению, менее 0,05 кг·м-2).</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