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10</w:t>
      </w:r>
    </w:p>
    <w:p>
      <w:r>
        <w:rPr>
          <w:rFonts w:ascii="Verdana" w:hAnsi="Verdana"/>
          <w:b/>
          <w:sz w:val="18"/>
        </w:rPr>
        <w:t>0 10 063  Characteristic of pressure tendency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CODE FIGURE</w:t>
            </w:r>
          </w:p>
        </w:tc>
        <w:tc>
          <w:tcPr>
            <w:tcW w:type="dxa" w:w="3784"/>
            <w:shd w:val="clear" w:color="auto" w:fill="D9D9D9"/>
          </w:tcPr>
          <w:p>
            <w:pPr>
              <w:spacing w:before="20" w:after="20"/>
            </w:pPr>
            <w:r/>
            <w:r>
              <w:rPr>
                <w:rFonts w:ascii="Verdana" w:hAnsi="Verdana"/>
                <w:b w:val="0"/>
                <w:sz w:val="16"/>
              </w:rPr>
              <w:t>ENTRY NAME</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Increasing, then decreasing; atmospheric pressure the same or higher than three hours ago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Increasing, then steady; or increasing, then increasing more slowly</w:t>
            </w:r>
          </w:p>
        </w:tc>
        <w:tc>
          <w:tcPr>
            <w:tcW w:type="dxa" w:w="3784"/>
          </w:tcPr>
          <w:p>
            <w:pPr>
              <w:spacing w:before="20" w:after="20"/>
            </w:pPr>
            <w:r/>
            <w:r>
              <w:rPr>
                <w:rFonts w:ascii="Verdana" w:hAnsi="Verdana"/>
                <w:b w:val="0"/>
                <w:sz w:val="16"/>
              </w:rPr>
              <w:t>Atmospheric pressure now higher than three hours ago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Increasing (steadily or unsteadily)</w:t>
            </w:r>
          </w:p>
        </w:tc>
        <w:tc>
          <w:tcPr>
            <w:tcW w:type="dxa" w:w="3784"/>
          </w:tcPr>
          <w:p>
            <w:pPr>
              <w:spacing w:before="20" w:after="20"/>
            </w:pPr>
            <w:r/>
            <w:r>
              <w:rPr>
                <w:rFonts w:ascii="Verdana" w:hAnsi="Verdana"/>
                <w:b w:val="0"/>
                <w:sz w:val="16"/>
              </w:rPr>
              <w:t>Atmospheric pressure now higher than three hours ago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Decreasing or steady, then increasing; or increasing, then increasing more rapidly</w:t>
            </w:r>
          </w:p>
        </w:tc>
        <w:tc>
          <w:tcPr>
            <w:tcW w:type="dxa" w:w="3784"/>
          </w:tcPr>
          <w:p>
            <w:pPr>
              <w:spacing w:before="20" w:after="20"/>
            </w:pPr>
            <w:r/>
            <w:r>
              <w:rPr>
                <w:rFonts w:ascii="Verdana" w:hAnsi="Verdana"/>
                <w:b w:val="0"/>
                <w:sz w:val="16"/>
              </w:rPr>
              <w:t>Atmospheric pressure now higher than three hours ago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Steady; atmospheric pressure the same as three hours ago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Decreasing, then increasing; atmospheric pressure the same or lower than three hours ago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Decreasing, then steady; or decreasing, then decreasing more slowly</w:t>
            </w:r>
          </w:p>
        </w:tc>
        <w:tc>
          <w:tcPr>
            <w:tcW w:type="dxa" w:w="3784"/>
          </w:tcPr>
          <w:p>
            <w:pPr>
              <w:spacing w:before="20" w:after="20"/>
            </w:pPr>
            <w:r/>
            <w:r>
              <w:rPr>
                <w:rFonts w:ascii="Verdana" w:hAnsi="Verdana"/>
                <w:b w:val="0"/>
                <w:sz w:val="16"/>
              </w:rPr>
              <w:t>Atmospheric pressure now lower than three hours ago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Decreasing (steadily or unsteadily)</w:t>
            </w:r>
          </w:p>
        </w:tc>
        <w:tc>
          <w:tcPr>
            <w:tcW w:type="dxa" w:w="3784"/>
          </w:tcPr>
          <w:p>
            <w:pPr>
              <w:spacing w:before="20" w:after="20"/>
            </w:pPr>
            <w:r/>
            <w:r>
              <w:rPr>
                <w:rFonts w:ascii="Verdana" w:hAnsi="Verdana"/>
                <w:b w:val="0"/>
                <w:sz w:val="16"/>
              </w:rPr>
              <w:t>Atmospheric pressure now lower than three hours ago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Steady or increasing, then decreasing; or decreasing, then decreasing more rapidly</w:t>
            </w:r>
          </w:p>
        </w:tc>
        <w:tc>
          <w:tcPr>
            <w:tcW w:type="dxa" w:w="3784"/>
          </w:tcPr>
          <w:p>
            <w:pPr>
              <w:spacing w:before="20" w:after="20"/>
            </w:pPr>
            <w:r/>
            <w:r>
              <w:rPr>
                <w:rFonts w:ascii="Verdana" w:hAnsi="Verdana"/>
                <w:b w:val="0"/>
                <w:sz w:val="16"/>
              </w:rPr>
              <w:t>Atmospheric pressure now lower than three hours ago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9-14</w:t>
            </w:r>
          </w:p>
        </w:tc>
        <w:tc>
          <w:tcPr>
            <w:tcW w:type="dxa" w:w="3784"/>
          </w:tcPr>
          <w:p>
            <w:pPr>
              <w:spacing w:before="20" w:after="20"/>
            </w:pPr>
            <w:r/>
            <w:r>
              <w:rPr>
                <w:rFonts w:ascii="Verdana" w:hAnsi="Verdana"/>
                <w:b w:val="0"/>
                <w:sz w:val="16"/>
              </w:rPr>
              <w:t>Reserved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Missing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10 064  SIGMET cruising level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Subsonic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Transonic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Supersonic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p>
      <w:r>
        <w:rPr>
          <w:rFonts w:ascii="Verdana" w:hAnsi="Verdana"/>
          <w:i/>
          <w:sz w:val="14"/>
        </w:rPr>
        <w:t>Note 2: 'Clear' and 'overcast' are coded by 0 and 8, respectively.</w:t>
      </w:r>
    </w:p>
    <w:p>
      <w:r>
        <w:rPr>
          <w:rFonts w:ascii="Verdana" w:hAnsi="Verdana"/>
          <w:i/>
          <w:sz w:val="14"/>
        </w:rPr>
        <w:t>Note 5: (0 is good, 1 is bad)</w:t>
      </w:r>
    </w:p>
    <w:p>
      <w:r>
        <w:rPr>
          <w:rFonts w:ascii="Verdana" w:hAnsi="Verdana"/>
          <w:i/>
          <w:sz w:val="14"/>
        </w:rPr>
        <w:t>Note 6: (See Common Code table C-1 in Part C/c.)</w:t>
      </w:r>
    </w:p>
    <w:p>
      <w:r>
        <w:rPr>
          <w:rFonts w:ascii="Verdana" w:hAnsi="Verdana"/>
          <w:i/>
          <w:sz w:val="14"/>
        </w:rPr>
        <w:t>Note 7: (See Common Code table C-2 in Part C/c.)</w:t>
      </w:r>
    </w:p>
    <w:p>
      <w:r>
        <w:rPr>
          <w:rFonts w:ascii="Verdana" w:hAnsi="Verdana"/>
          <w:i/>
          <w:sz w:val="14"/>
        </w:rPr>
        <w:t>Note 8: (See Common Code table C-3)</w:t>
      </w:r>
    </w:p>
    <w:p>
      <w:r>
        <w:rPr>
          <w:rFonts w:ascii="Verdana" w:hAnsi="Verdana"/>
          <w:i/>
          <w:sz w:val="14"/>
        </w:rPr>
        <w:t>Note 9: (See Common Code table C-4)</w:t>
      </w:r>
    </w:p>
    <w:p>
      <w:r>
        <w:rPr>
          <w:rFonts w:ascii="Verdana" w:hAnsi="Verdana"/>
          <w:i/>
          <w:sz w:val="14"/>
        </w:rPr>
        <w:t>Note 10: (See Common Code table C-5 Part C/c.)</w:t>
      </w:r>
    </w:p>
    <w:p>
      <w:r>
        <w:rPr>
          <w:rFonts w:ascii="Verdana" w:hAnsi="Verdana"/>
          <w:i/>
          <w:sz w:val="14"/>
        </w:rPr>
        <w:t>Note 11: (See Common Code table C-7 in Part C/c.)</w:t>
      </w:r>
    </w:p>
    <w:p>
      <w:r>
        <w:rPr>
          <w:rFonts w:ascii="Verdana" w:hAnsi="Verdana"/>
          <w:i/>
          <w:sz w:val="14"/>
        </w:rPr>
        <w:t>Note 12: (See Common Code table C-8 in Part C/c.)</w:t>
      </w:r>
    </w:p>
    <w:p>
      <w:r>
        <w:rPr>
          <w:rFonts w:ascii="Verdana" w:hAnsi="Verdana"/>
          <w:i/>
          <w:sz w:val="14"/>
        </w:rPr>
        <w:t>Note 13: (See Common Code table C-14 Part C/c.)</w:t>
      </w:r>
    </w:p>
    <w:p>
      <w:r>
        <w:rPr>
          <w:rFonts w:ascii="Verdana" w:hAnsi="Verdana"/>
          <w:i/>
          <w:sz w:val="14"/>
        </w:rPr>
        <w:t>Note 14: (To be defined by centres themselves - See Common Code table C-12 in Part C/c.)</w:t>
      </w:r>
    </w:p>
    <w:p>
      <w:r>
        <w:rPr>
          <w:rFonts w:ascii="Verdana" w:hAnsi="Verdana"/>
          <w:i/>
          <w:sz w:val="14"/>
        </w:rPr>
        <w:t>Note 15: (To be developed)</w:t>
      </w:r>
    </w:p>
    <w:p>
      <w:r>
        <w:rPr>
          <w:rFonts w:ascii="Verdana" w:hAnsi="Verdana"/>
          <w:i/>
          <w:sz w:val="14"/>
        </w:rPr>
        <w:t>Note 16: A consecutive sequence of 2 or more of location coordinates, such as latitude and longitude pairs,defines a line or polygon. Points shall be joined in the order given in the message. Any area described will fall left of the drawn boundary in the direction established by the order of the points given in the message. This definition is for simple non-intersecting polygons without holes.</w:t>
      </w:r>
    </w:p>
    <w:p>
      <w:r>
        <w:rPr>
          <w:rFonts w:ascii="Verdana" w:hAnsi="Verdana"/>
          <w:i/>
          <w:sz w:val="14"/>
        </w:rPr>
        <w:t>Note 17: All bits off implies a good calibration.</w:t>
      </w:r>
    </w:p>
    <w:p>
      <w:r>
        <w:rPr>
          <w:rFonts w:ascii="Verdana" w:hAnsi="Verdana"/>
          <w:i/>
          <w:sz w:val="14"/>
        </w:rPr>
        <w:t>Note 18: All first-order statistics are in the units defined by the original data descriptors.</w:t>
      </w:r>
    </w:p>
    <w:p>
      <w:r>
        <w:rPr>
          <w:rFonts w:ascii="Verdana" w:hAnsi="Verdana"/>
          <w:i/>
          <w:sz w:val="14"/>
        </w:rPr>
        <w:t>Note 19: Associated field significance shall be used initially in conjunction with the quality of observed data.</w:t>
      </w:r>
    </w:p>
    <w:p>
      <w:r>
        <w:rPr>
          <w:rFonts w:ascii="Verdana" w:hAnsi="Verdana"/>
          <w:i/>
          <w:sz w:val="14"/>
        </w:rPr>
        <w:t>Note 21: Beginning with the first bit position (high order bit), if the bit position is set to one, then the channel is used. If the bit position is set to zero, then the channel is not used.</w:t>
      </w:r>
    </w:p>
    <w:p>
      <w:r>
        <w:rPr>
          <w:rFonts w:ascii="Verdana" w:hAnsi="Verdana"/>
          <w:i/>
          <w:sz w:val="14"/>
        </w:rPr>
        <w:t>Note 22: Bit flags denoting the elements included in processing sounding data.</w:t>
      </w:r>
    </w:p>
    <w:p>
      <w:r>
        <w:rPr>
          <w:rFonts w:ascii="Verdana" w:hAnsi="Verdana"/>
          <w:i/>
          <w:sz w:val="14"/>
        </w:rPr>
        <w:t>Note 23: Bit flags denoting the instrument and/or channels used in obtaining various physical parameters. If, in any grouping of parameters, all bits = 0, then no retrieval was made for that parameter or set of parameters.</w:t>
      </w:r>
    </w:p>
    <w:p>
      <w:r>
        <w:rPr>
          <w:rFonts w:ascii="Verdana" w:hAnsi="Verdana"/>
          <w:i/>
          <w:sz w:val="14"/>
        </w:rPr>
        <w:t>Note 24: Bits 1-4 represent time problem code. All bits off implies the scan time is as expected.</w:t>
      </w:r>
    </w:p>
    <w:p>
      <w:r>
        <w:rPr>
          <w:rFonts w:ascii="Verdana" w:hAnsi="Verdana"/>
          <w:i/>
          <w:sz w:val="14"/>
        </w:rPr>
        <w:t>Note 25: Bits 11-17 represent Earth location problem code. All bits set to zero implies the Earth location was normal.</w:t>
      </w:r>
    </w:p>
    <w:p>
      <w:r>
        <w:rPr>
          <w:rFonts w:ascii="Verdana" w:hAnsi="Verdana"/>
          <w:i/>
          <w:sz w:val="14"/>
        </w:rPr>
        <w:t>Note 27: Bits 5-10 represent calibration problem code. All bits set to zero indicated normal calibration. Where any of bits 5, 7, 10 are set, secondary calibration coefficients have been used.</w:t>
      </w:r>
    </w:p>
    <w:p>
      <w:r>
        <w:rPr>
          <w:rFonts w:ascii="Verdana" w:hAnsi="Verdana"/>
          <w:i/>
          <w:sz w:val="14"/>
        </w:rPr>
        <w:t>Note 32: Code figures 1-9: Duration and time of current measurement (vector or Doppler current profiling method).</w:t>
      </w:r>
    </w:p>
    <w:p>
      <w:r>
        <w:rPr>
          <w:rFonts w:ascii="Verdana" w:hAnsi="Verdana"/>
          <w:i/>
          <w:sz w:val="14"/>
        </w:rPr>
        <w:t>Note 33: Code figures 11-19: Period of current measurement (drift method).</w:t>
      </w:r>
    </w:p>
    <w:p>
      <w:r>
        <w:rPr>
          <w:rFonts w:ascii="Verdana" w:hAnsi="Verdana"/>
          <w:i/>
          <w:sz w:val="14"/>
        </w:rPr>
        <w:t>Note 34: Code figures for generic precipitation (code figures 140-148) are arranged in order of increasing complexity. For example, a very simple station that can sense only the presence or absence of precipitation would use code figure 140 (precipitation). At the next level, an automatic station capable of sensing amount but not type would use code figure 141 or 142. An automatic station capable of sensing gross type (liquid, solid, freezing) and amount would use code figures 143-148. An automatic station capable of reporting actual types of precipitation (e.g. drizzle rain), but not the amount, would use the appropriate whole decile number (e.g. 150 for generic drizzle, 160 for generic rain).</w:t>
      </w:r>
    </w:p>
    <w:p>
      <w:r>
        <w:rPr>
          <w:rFonts w:ascii="Verdana" w:hAnsi="Verdana"/>
          <w:i/>
          <w:sz w:val="14"/>
        </w:rPr>
        <w:t>Note 35: Descriptor 0 25 009 is deprecated. 0 25 029 should be used instead.</w:t>
      </w:r>
    </w:p>
    <w:p>
      <w:r>
        <w:rPr>
          <w:rFonts w:ascii="Verdana" w:hAnsi="Verdana"/>
          <w:i/>
          <w:sz w:val="14"/>
        </w:rPr>
        <w:t>Note 36: Difference statistics are difference values; they have dimensions the same as the corresponding reported values with respect to units, but assume a range centred on zero (e.g., the difference between reported and analysed values, the difference between reported and forecast values).</w:t>
      </w:r>
    </w:p>
    <w:p>
      <w:r>
        <w:rPr>
          <w:rFonts w:ascii="Verdana" w:hAnsi="Verdana"/>
          <w:i/>
          <w:sz w:val="14"/>
        </w:rPr>
        <w:t>Note 39: EPSG is a dataset of coordinate system and coordinate system transformations, originally produced and maintained by the European Petroleum Survey Group. It is now maintained by the Geodesy Subcommittee of the International Association of Oil and Gas Producers Geomatics Committee.</w:t>
      </w:r>
    </w:p>
    <w:p>
      <w:r>
        <w:rPr>
          <w:rFonts w:ascii="Verdana" w:hAnsi="Verdana"/>
          <w:i/>
          <w:sz w:val="14"/>
        </w:rPr>
        <w:t>Note 42: Further applications may be developed.</w:t>
      </w:r>
    </w:p>
    <w:p>
      <w:r>
        <w:rPr>
          <w:rFonts w:ascii="Verdana" w:hAnsi="Verdana"/>
          <w:i/>
          <w:sz w:val="14"/>
        </w:rPr>
        <w:t>Note 43: Generic terms for weather (e.g. fog, drizzle) are intended for use at automatic stations capable of determining types of weather but no other information. Generic terms are included in the code table using all capital letters.</w:t>
      </w:r>
    </w:p>
    <w:p>
      <w:r>
        <w:rPr>
          <w:rFonts w:ascii="Verdana" w:hAnsi="Verdana"/>
          <w:i/>
          <w:sz w:val="14"/>
        </w:rPr>
        <w:t>Note 45: H = Time of observation.</w:t>
      </w:r>
    </w:p>
    <w:p>
      <w:r>
        <w:rPr>
          <w:rFonts w:ascii="Verdana" w:hAnsi="Verdana"/>
          <w:i/>
          <w:sz w:val="14"/>
        </w:rPr>
        <w:t>Note 49: If bit is set to 1 then statement is true.</w:t>
      </w:r>
    </w:p>
    <w:p>
      <w:r>
        <w:rPr>
          <w:rFonts w:ascii="Verdana" w:hAnsi="Verdana"/>
          <w:i/>
          <w:sz w:val="14"/>
        </w:rPr>
        <w:t>Note 50: In all instances the highest code figures applicable are to be reported.</w:t>
      </w:r>
    </w:p>
    <w:p>
      <w:r>
        <w:rPr>
          <w:rFonts w:ascii="Verdana" w:hAnsi="Verdana"/>
          <w:i/>
          <w:sz w:val="14"/>
        </w:rPr>
        <w:t>Note 52: In reports from automatic stations, code figure 2 shall be used when tendency is positive, 7 when negative, and 4 when pressure is the same as three hours before.</w:t>
      </w:r>
    </w:p>
    <w:p>
      <w:r>
        <w:rPr>
          <w:rFonts w:ascii="Verdana" w:hAnsi="Verdana"/>
          <w:i/>
          <w:sz w:val="14"/>
        </w:rPr>
        <w:t>Note 53: In reports from tropical stations reporting 24-hour pressure changes, code figure 2 shall be used when tendency is positive, 7 when negative, and 4 when pressure is the same as 24 hours before.</w:t>
      </w:r>
    </w:p>
    <w:p>
      <w:r>
        <w:rPr>
          <w:rFonts w:ascii="Verdana" w:hAnsi="Verdana"/>
          <w:i/>
          <w:sz w:val="14"/>
        </w:rPr>
        <w:t>Note 54: In the above code table, whenever reference is made to ice, it also includes solid precipitation other than snow.</w:t>
      </w:r>
    </w:p>
    <w:p>
      <w:r>
        <w:rPr>
          <w:rFonts w:ascii="Verdana" w:hAnsi="Verdana"/>
          <w:i/>
          <w:sz w:val="14"/>
        </w:rPr>
        <w:t>Note 57: Mixed precipitation is indicated by setting to one the bits of all the observed single types of precipitation.</w:t>
      </w:r>
    </w:p>
    <w:p>
      <w:r>
        <w:rPr>
          <w:rFonts w:ascii="Verdana" w:hAnsi="Verdana"/>
          <w:i/>
          <w:sz w:val="14"/>
        </w:rPr>
        <w:t>Note 59: New local names for storm of various strengths shall be added as necessary.</w:t>
      </w:r>
    </w:p>
    <w:p>
      <w:r>
        <w:rPr>
          <w:rFonts w:ascii="Verdana" w:hAnsi="Verdana"/>
          <w:i/>
          <w:sz w:val="14"/>
        </w:rPr>
        <w:t>Note 60: None of the code figures exclude the addition of interpolated levels at the discretion of the generating centre.</w:t>
      </w:r>
    </w:p>
    <w:p>
      <w:r>
        <w:rPr>
          <w:rFonts w:ascii="Verdana" w:hAnsi="Verdana"/>
          <w:i/>
          <w:sz w:val="14"/>
        </w:rPr>
        <w:t>Note 63: Phenomenon in this flag table means any phenomenon, including precipitation and obscuration.</w:t>
      </w:r>
    </w:p>
    <w:p>
      <w:r>
        <w:rPr>
          <w:rFonts w:ascii="Verdana" w:hAnsi="Verdana"/>
          <w:i/>
          <w:sz w:val="14"/>
        </w:rPr>
        <w:t>Note 75: The definitions in code numbers 0 to 2 and 4 apply to representative bare ground and numbers 3, 5 to 9 and 10 to 19 to an open representative area.</w:t>
      </w:r>
    </w:p>
    <w:p>
      <w:r>
        <w:rPr>
          <w:rFonts w:ascii="Verdana" w:hAnsi="Verdana"/>
          <w:i/>
          <w:sz w:val="14"/>
        </w:rPr>
        <w:t>Note 76: The exact bounding height shall be assigned for the lower code figure; e.g., a height of 4 m is coded as 5.</w:t>
      </w:r>
    </w:p>
    <w:p>
      <w:r>
        <w:rPr>
          <w:rFonts w:ascii="Verdana" w:hAnsi="Verdana"/>
          <w:i/>
          <w:sz w:val="14"/>
        </w:rPr>
        <w:t>Note 78: The first three digits represent the ISO country code.</w:t>
      </w:r>
    </w:p>
    <w:p>
      <w:r>
        <w:rPr>
          <w:rFonts w:ascii="Verdana" w:hAnsi="Verdana"/>
          <w:i/>
          <w:sz w:val="14"/>
        </w:rPr>
        <w:t>Note 79: The last column in the table contains the associated registry number from the Chemical Abstracts Service (CAS) of the American Chemical Society.</w:t>
      </w:r>
    </w:p>
    <w:p>
      <w:r>
        <w:rPr>
          <w:rFonts w:ascii="Verdana" w:hAnsi="Verdana"/>
          <w:i/>
          <w:sz w:val="14"/>
        </w:rPr>
        <w:t>Note 80: The middle portion of this code table (code figures 100-199) includes terms on several levels to cover simple and increasingly complex automatic stations.</w:t>
      </w:r>
    </w:p>
    <w:p>
      <w:r>
        <w:rPr>
          <w:rFonts w:ascii="Verdana" w:hAnsi="Verdana"/>
          <w:i/>
          <w:sz w:val="14"/>
        </w:rPr>
        <w:t>Note 81: The nominal range for the surface soil moisture is 0% - 100%. In extreme cases, the extrapolated backscatter at 40 degrees incidence angle may exceed the dry or the wet backscatter reference. In these cases, the value provided by the measurement process of surface soil moisture is, respectively,less than 0% or more than 100%.</w:t>
      </w:r>
    </w:p>
    <w:p>
      <w:r>
        <w:rPr>
          <w:rFonts w:ascii="Verdana" w:hAnsi="Verdana"/>
          <w:i/>
          <w:sz w:val="14"/>
        </w:rPr>
        <w:t>Note 84: These values refer to well-developed wind waves of the open sea. While priority shall be given to the descriptive terms, these height values may be used for guidance by the observer when reporting the total state of agitation of the sea resulting from various factors such as wind, swell, currents, angle between swell and wind, etc.</w:t>
      </w:r>
    </w:p>
    <w:p>
      <w:r>
        <w:rPr>
          <w:rFonts w:ascii="Verdana" w:hAnsi="Verdana"/>
          <w:i/>
          <w:sz w:val="14"/>
        </w:rPr>
        <w:t>Note 85: This descriptor will be associated with visibility data or height of clouds data to specify if the value is bounded. If the reported data is the true value, the code figure is 0. However, the measurement can hit the limit of the instrument measurement capability. If the reported value is higher than the true value, the codefigure is 1; if the reported value is lower than the true value, the code figure is 2.</w:t>
      </w:r>
    </w:p>
    <w:p>
      <w:r>
        <w:rPr>
          <w:rFonts w:ascii="Verdana" w:hAnsi="Verdana"/>
          <w:i/>
          <w:sz w:val="14"/>
        </w:rPr>
        <w:t>Note 88: Time significance must be qualified by appropriate time periods being specified.</w:t>
      </w:r>
    </w:p>
    <w:p>
      <w:r>
        <w:rPr>
          <w:rFonts w:ascii="Verdana" w:hAnsi="Verdana"/>
          <w:i/>
          <w:sz w:val="14"/>
        </w:rPr>
        <w:t>Note 90: Type of instrumentation and original units for wind measurement (measured in m s–1 unless otherwise indicated).</w:t>
      </w:r>
    </w:p>
    <w:p>
      <w:r>
        <w:rPr>
          <w:rFonts w:ascii="Verdana" w:hAnsi="Verdana"/>
          <w:i/>
          <w:sz w:val="14"/>
        </w:rPr>
        <w:t>Note 94: Where the original reporting method is as indicated by code figure 1, the following conversion is recommended to obtain a suitable data value corresponding to descriptor 0 01 012:Reported value Data value0 01 452 903 1354 1805 2256 2707 3158 3609 511</w:t>
      </w:r>
    </w:p>
    <w:p>
      <w:r>
        <w:rPr>
          <w:rFonts w:ascii="Verdana" w:hAnsi="Verdana"/>
          <w:i/>
          <w:sz w:val="14"/>
        </w:rPr>
        <w:t>Note 95: Where the original reporting method is as indicated by code figure 1, the following conversion is recommended to obtain a suitable data value corresponding to descriptor 0 01 013:Reported value Data value 0 01 12 43 74 95 126 147 178 199 21/ 1023</w:t>
      </w:r>
    </w:p>
    <w:p>
      <w:r>
        <w:rPr>
          <w:rFonts w:ascii="Verdana" w:hAnsi="Verdana"/>
          <w:i/>
          <w:sz w:val="14"/>
        </w:rPr>
        <w:t>Note 98: Code figures 1 - 24 are siting classifications and measurement quality classifications according to the Guide to Instruments and Methods of Observation (WMO-No. 8), Volume I, Chapter 1, Annex 1.D and Annex 1.G.</w:t>
      </w:r>
    </w:p>
    <w:p>
      <w:r>
        <w:rPr>
          <w:rFonts w:ascii="Verdana" w:hAnsi="Verdana"/>
          <w:i/>
          <w:sz w:val="14"/>
        </w:rPr>
        <w:t>Note 99: Code figures 26 - 30 are siting classifications according to the Guide to Instruments and Methods of Observation (WMO-No. 8), Volume I, Chapter 1, Annex 1.D.</w:t>
      </w:r>
    </w:p>
    <w:p>
      <w:r>
        <w:rPr>
          <w:rFonts w:ascii="Verdana" w:hAnsi="Verdana"/>
          <w:i/>
          <w:sz w:val="14"/>
        </w:rPr>
        <w:t>Note 100: Code figures 31 - 34 are measurement quality classifications according to the Guide to Instruments and Methods of Observation (WMO-No. 8), Volume I, Chapter 1, Annex 1.G.</w:t>
      </w:r>
    </w:p>
    <w:p>
      <w:r>
        <w:rPr>
          <w:rFonts w:ascii="Verdana" w:hAnsi="Verdana"/>
          <w:i/>
          <w:sz w:val="14"/>
        </w:rPr>
        <w:t>Note 101: Annex 1.G is a new annex that will be part of an updated version of WMO-No. 8 to be published in mid-2022.</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